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E-6539/2015 vom 16. Juni 2017</w:t>
      </w:r>
    </w:p>
    <w:p>
      <w:r>
        <w:t>Bundesverwaltungsgericht, 2017-06-16, DE</w:t>
      </w:r>
    </w:p>
    <w:p>
      <w:r>
        <w:rPr>
          <w:b/>
        </w:rPr>
        <w:t xml:space="preserve">Quelle: </w:t>
      </w:r>
      <w:r>
        <w:t>https://mcp.opencaselaw.ch/entscheid/bvger_E-6539_2015</w:t>
      </w:r>
    </w:p>
    <w:p>
      <w:r>
        <w:t>FR: TAF E-6539/2015 du 16 juin 2017</w:t>
      </w:r>
    </w:p>
    <w:p>
      <w:r>
        <w:t>IT: TAF E-6539/2015 del 16 giugno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i.V.m.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Abs. 1 VwVG). Auf die Beschwerde ist mithin einzutreten.</w:t>
      </w:r>
    </w:p>
    <w:p>
      <w:r>
        <w:rPr>
          <w:b/>
        </w:rPr>
        <w:t>E. 2</w:t>
      </w:r>
    </w:p>
    <w:p>
      <w:r>
        <w:t>Über offensichtlich begründete Beschwerden wird in einzelrichterlicher Zuständigkeit mit Zustimmung eines zweiten Richters beziehungsweise einer zweiten Richterin entschieden (Art. 111 Bst. e AsylG). Vorliegend handelt es sich - insbesondere aufgrund der in dieser Rechtsfrage neuergangenen Rechtsprechung des Bundesverwaltungsgerichts (Urteil D-7853/2015 vom 31. Mai 2017 E. 13, zur Publikation als Referenzurteil vorgesehen) - im Urteilszeitpunkt um eine solche, weshalb der Beschwerdeentscheid nur summarisch zu begründen ist (Art. 111a Abs. 2 AsylG).</w:t>
      </w:r>
    </w:p>
    <w:p>
      <w:r>
        <w:rPr>
          <w:b/>
        </w:rPr>
        <w:t>E. 3.1</w:t>
      </w:r>
    </w:p>
    <w:p>
      <w:r>
        <w:t>Die Kognition des Bundesverwaltungsgerichts und die zulässigen Rügen richten sich im Asylbereich nach Art. 106 Abs. 1 AsylG.</w:t>
      </w:r>
    </w:p>
    <w:p>
      <w:r>
        <w:rPr>
          <w:b/>
        </w:rPr>
        <w:t>E. 3.2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Gemäss dem Dublin-Assoziierungsabkommen vom 26. Oktober 2004 (DAA, SR 0.142.392.68) kommt diesbezüglich die Dublin-III-VO zur Anwendung. Das SEM prüft somit zur Bestimmung des staatsvertraglich zuständigen Staates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4.3</w:t>
      </w:r>
    </w:p>
    <w:p>
      <w:r>
        <w:t>Im Fall eines - wie vorliegend -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die antragstellende Person erstmals einen Antrag in einem Mitgliedstaat gestellt hat, auszugehen (Art. 7 Abs. 2 Dublin-III-VO; vgl. BVGE 2012/4 E. 3.2; Filzwieser/Sprung, Dublin III-Verordnung, Wien 2014, K4 zu Art. 7).</w:t>
      </w:r>
    </w:p>
    <w:p>
      <w:r>
        <w:rPr>
          <w:b/>
        </w:rPr>
        <w:t>E. 4.4</w:t>
      </w:r>
    </w:p>
    <w:p>
      <w:r>
        <w:t>Erweist es sich als unmöglich, eine antragstellende Person in den eigentlich zuständigen Mitgliedstaat zu überstellen, weil es wesentliche Gründe für die Annahme gibt, dass das Asylverfahren und die Aufnahmebedingungen für Antragstellende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4.5</w:t>
      </w:r>
    </w:p>
    <w:p>
      <w:r>
        <w:t>Der nach dieser Verordnung zuständige Mitgliedstaat ist verpflichtet, eine antragstellende Person, die in einem anderen Mitgliedstaat einen Antrag gestellt hat, nach Massgabe der Art. 21, 22 und 29 Dublin-III-VO aufzunehmen (Art. 18 Abs. 1 Bst. a Dublin-III-VO).</w:t>
      </w:r>
    </w:p>
    <w:p>
      <w:r>
        <w:rPr>
          <w:b/>
        </w:rPr>
        <w:t>E. 4.6</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w:t>
      </w:r>
    </w:p>
    <w:p>
      <w:r>
        <w:t>Ein Abgleich der Fingerabdrücke des Beschwerdeführers mit der "Eurodac"-Datenbank ergab, dass dieser am 25. Juni 2015 in Ungarn in das Hoheitsgebiet der Dublin-Staaten eingereist war (Art. 13 Abs. 1 Dublin-III-VO). Die ungarischen Behörden liessen das Ersuchen des SEM um Aufnahme des Beschwerdeführers innert der in Art. 22 Abs. 1 Dublin-III-VO vorgesehenen Frist unbeantwortet, womit sie die Zuständigkeit Ungarns implizit anerkannten (Art. 22 Abs. 7 Dublin-III-VO). Der Beschwerdeführer vermag auch aus der behaupteten Minderjährigkeit keine Zuständigkeit der Schweiz für die Behandlung seines Asylgesuchs abzuleiten. So ist die Vorinstanz gestützt auf seine Aussagen und das Ergebnis der Handknochenanalyse zu Recht von dessen Volljährigkeit ausgegangen. Der Beschwerdeführer vermag auch mit der auf Beschwerdeebene eingereichten Ersatz-Tazkira nicht glaubhaft darzutun, er sei minderjährig. So handelt es sich dabei nicht um ein amtliches Reisepapier, dem zudem, weil nicht fälschungssicher, nur ein verminderter Beweiswert zukommt (vgl. Urteil des Bundesgerichts 1C_240/2012 vom 13. August 2012 E. 5.1 und BVGE 2013/30 E. 4.2.2 m.w.H.). Die Tazkira kann ohnehin weder aus dem Ausland beantragt werden - die Person muss für den Antrag und die Ausstellung immer nach Afghanistan reisen - noch kann sie legal durch eine verwandte Vertretungsperson - im vorliegenden Fall der Onkel des Beschwerdeführers - vor Ort beschafft werden (vgl. SFH [Schweizerische Flüchtlingshilfe], Schnellrecherche vom 11. Februar 2016 zu Afghanistan: Antrag und Ausstellung einer Tazkira im Ausland, S. 1 und 3). Aus diesen Gründen vermag der Beschwerdeführer mit der eingereichten (Ersatz-)Tazkira nichts zu seinen Gunsten abzuleiten. Es ist weiterhin von seiner Volljährigkeit auszugehen. Die grundsätzliche Zuständigkeit Ungarns ist somit wie von der Vorinstanz zutreffend ausgeführt worden ist, gegeben.</w:t>
      </w:r>
    </w:p>
    <w:p>
      <w:r>
        <w:rPr>
          <w:b/>
        </w:rPr>
        <w:t>E. 6.1</w:t>
      </w:r>
    </w:p>
    <w:p>
      <w:r>
        <w:t>Im Lichte von Art. 3 Abs. 2 Dublin-III-VO ist weiter zu prüfen, ob es wesentliche Gründe für die Annahme gibt, das Asylverfahren und die Aufnahmebedingungen für Asylsuchende in Ungarn würden systemische Schwachstellen aufweisen, welche eine Gefahr einer unmenschlichen oder entwürdigenden Behandlung im Sinne des Art. 4 der EU-Grundrechtecharta mit sich bringen und welche die grundsätzliche Zuständigkeit Ungarns im Sinne von Art. 3 Abs. 1 Dublin-III-VO durchbrechen würden.</w:t>
      </w:r>
    </w:p>
    <w:p>
      <w:r>
        <w:rPr>
          <w:b/>
        </w:rPr>
        <w:t>E. 6.2</w:t>
      </w:r>
    </w:p>
    <w:p>
      <w:r>
        <w:t>Das Bundesverwaltungsgericht hat im Urteil D-7853/2015 (vgl. a.a.O.) eingehend die Entwicklung der Situation für Asylsuchende in Ungarn, insbesondere für jene, die in Anwendung der Dublin-III-VO nach Ungarn überstellt werden, analysiert, unter Berücksichtigung des bedeutenden Migrationsstroms, welchen das Land im Sommer 2015 zu gewärtigen hatte. Es hat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Es hat festgestellt, dass die Umsetzung dieses Aktes, welcher rückwirkend auf sämtliche laufende Asylverfahren anwendbar ist und eine wesentliche Verschärfung der ungarischen Gesetzgebung mit sich bringt, zahlreiche Unsicherheiten und Fragen nach sich zieht. Es könne daher namentlich nicht mit Sicherheit ermittelt werden, ob Asylsuchende, die nach Ungarn überstellt werden, als nicht aufenthaltsberechtigte Personen angesehen und deshalb in sogenannte "Prätransit"-Zonen abgeschoben werden, oder ob sie als asylsuchende Personen betrachtet werden, deren Gesuche in den Transitzonen zu behandeln sind. Angesichts der zahlreichen Unsicherheiten, die diese neue Gesetzesänderung hinsichtlich des Verfahrenszugangs und der Aufnahmebedingungen mit sich gebracht hat, sei es dem Bundesverwaltungsgericht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Staatssekretariat für Migration zurückgewiesen. Es obliege der erstinstanzlichen Behörde, sämtliche Sachverhaltselemente zusammenzutragen, die zur Beurteilung dieser wesentlichen Fragen erforderlich seien, und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Erwägung 13 des Urteils).</w:t>
      </w:r>
    </w:p>
    <w:p>
      <w:r>
        <w:rPr>
          <w:b/>
        </w:rPr>
        <w:t>E. 6.3</w:t>
      </w:r>
    </w:p>
    <w:p>
      <w:r>
        <w:t>Mit derselben Begründung, wie sie vorstehend dargelegt wurde, ist es dem Gericht vorliegend nicht möglich, die Vorbringen in der Beschwerde vom 12. Oktober 2015 vollständig zu beurteilen. Die angefochtene Verfügung ist folglich aufzuheben und die Sache - mit Ausnahme der festgestellten Volljährigkeit - zur vollständigen Sachverhaltsfeststellung sowie zur neuen Entscheidung an die Vorinstanz zurückzuweisen. Die Beschwerde ist demnach gutzuheissen, ohne dass auf weitere Beschwerdevorbringen eingegangen werden müsste. Nachdem sich die Beschwerde aufgrund des oben Gesagten zum heutigen Zeitpunkt als offensichtlich begründet erweist, ist sie im Einzelrichterverfahren mit Zustimmung eines zweiten Richters beziehungsweise einer zweiten Richterin, soweit damit die Aufhebung der angefochtenen Verfügung verlangt worden ist, gutzuheissen (Art. 111 Bst. e AsylG).</w:t>
      </w:r>
    </w:p>
    <w:p>
      <w:r>
        <w:rPr>
          <w:b/>
        </w:rPr>
        <w:t>E. 7.1</w:t>
      </w:r>
    </w:p>
    <w:p>
      <w:r>
        <w:t>Bei diesem Ausgang des Verfahrens sind keine Verfahrenskosten zu erheben (Art. 63 Abs. 1 und 2 VwVG).</w:t>
      </w:r>
    </w:p>
    <w:p>
      <w:r>
        <w:rPr>
          <w:b/>
        </w:rPr>
        <w:t>E. 7.2</w:t>
      </w:r>
    </w:p>
    <w:p>
      <w:r>
        <w:t>Obsiegende Parteien haben Anspruch auf eine Parteientschädigung für die ihnen erwachsenen notwendigen Kosten (Art. 64 Abs. 1 VwVG, Art. 7 Abs. 1 des Reglements vom 21. Februar 2008 über die Kosten und Entschädigungen vor dem Bundesverwaltungsgericht (VGKE, SR 173.320.2). Nachdem die Rechtsvertretung keine Kostennote eingereicht hat, ist die Parteientschädigung auf Grund der Akten festzulegen (Art. 14 Abs. 2 in fine VGKE). Unter Berücksichtigung der massgeblichen Bemessungsfaktoren (vgl. Art. 8 ff. VGKE) ist diese auf insgesamt Fr. 250.- (inklusive Auslagen) festzusetzen (Art. 14 Abs. 2 und Art. 10 Abs. 2 VGKE). Das SEM ist anzuweisen, dem Beschwerdeführer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