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E-6538/2014 vom 6. Februar 2015</w:t>
      </w:r>
    </w:p>
    <w:p>
      <w:r>
        <w:t>Bundesverwaltungsgericht, 2015-02-06, FR</w:t>
      </w:r>
    </w:p>
    <w:p>
      <w:r>
        <w:rPr>
          <w:b/>
        </w:rPr>
        <w:t xml:space="preserve">Quelle: </w:t>
      </w:r>
      <w:r>
        <w:t>https://mcp.opencaselaw.ch/entscheid/bvger_E-6538_2014</w:t>
      </w:r>
    </w:p>
    <w:p>
      <w:r>
        <w:t>FR: TAF E-6538/2014 du 6 février 2015</w:t>
      </w:r>
    </w:p>
    <w:p>
      <w:r>
        <w:t>IT: TAF E-6538/2014 del 6 febbraio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(cf. art. 48 al. 1 PA, applicable par renvoi de l'art. 37 LTAF). Présenté dans la forme (cf. art. 52 al. 1 PA par renvoi de l'art. 6 LAsi) et le délai prescrit par la loi (cf. art. 108 al. 1 LAsi), le recours est recevable.</w:t>
      </w:r>
    </w:p>
    <w:p>
      <w:r>
        <w:rPr>
          <w:b/>
        </w:rPr>
        <w:t>E. 2</w:t>
      </w:r>
    </w:p>
    <w:p>
      <w:r>
        <w:t>Aux termes de l'al. 1 des dispositions transitoires de la modification du 14 décembre 2012 de la loi sur l'asile, le nouveau droit s'applique à toutes les procédures pendantes, y compris devant le Tribunal, à son entrée en vigueur, le 1er février 2014.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l'ODM a considéré qu'on ne pouvait croire que le recourant avait réellement vécu les événements sur lesquels il fondait sa demande d'asile tant son récit, dépourvu d'indices et sans affect, était superficiel. En outre, toujours selon l'ODM, les cicatrices du recourant n'étaient pas de nature à prouver ses dires dans la mesure où elles pouvaient être dues à une autre cause que celle alléguée par lui. L'ODM n'a pas non plus estimé convaincantes les explications du recourant pour justifier ses contradictions sur des points essentiels de son récit.</w:t>
      </w:r>
    </w:p>
    <w:p>
      <w:r>
        <w:rPr>
          <w:b/>
        </w:rPr>
        <w:t>E. 4.2</w:t>
      </w:r>
    </w:p>
    <w:p>
      <w:r>
        <w:t>Dans son recours, A._______ impute aussi bien l'inconsistance de ses propos que ses contradictions à des troubles de la mémoire et de la concentration consécutifs à son agression par les frères de son amie en Afghanistan. Il maintient qu'il est en danger de mort dans ce pays, les parents de son amie l'ayant menacé à l'hôpital, où ils étaient venus le trouver, après lui avoir révélé qu'ils avaient tué leur fille à cause de lui. Le recourant souligne aussi qu'il ne peut compter ni sur la protection des autorités, qui considèrent les crimes d'honneur comme des affaires privées dans lesquelles elles n'ont pas à intervenir, ni sur sa famille, trop modeste pour solliciter la médiation de personnalités influentes. Pour preuve de ce qu'il avance, le recourant renvoie le Tribunal à un rapport du Département d'Etat américain de juin 2014 sur la répression de l'adultère en Afghanistan et sur la persistance de coutumes et pratiques traditionnellement discriminatoires à l'endroit des femmes de ce pays.</w:t>
      </w:r>
    </w:p>
    <w:p>
      <w:r>
        <w:rPr>
          <w:b/>
        </w:rPr>
        <w:t>E. 4.3</w:t>
      </w:r>
    </w:p>
    <w:p>
      <w:r>
        <w:t>De fait, il appert des déclarations du recourant que sa relation avec son amie aurait duré quatre ou six ou sept mois, selon les versions. Pendant cette période, il aurait en vain tenté de convaincre les parents de cette dernière de le laisser l'épouser. Il a donc immanquablement dû avoir affaire aux parents de son amie. Aussi le Tribunal n'estime pas plausible qu'il n'en sache ni le nom ni l'adresse exacte qu'il a située à deux endroits a priori distincts. Par ailleurs, quand bien même son amie ne lui aurait pas d'emblée révélé son véritable prénom, il apparaît hautement improbable qu'il n'ait pas fini par le savoir dès lors que les deux auraient été liés pendant plusieurs mois et qu'ils auraient même eu l'intention de se marier. Il ressort aussi de ses déclarations que le recourant n'a été constant sur aucun des points essentiels de son récit. Certes, placé devant ses contradictions lors de sa seconde audition, il a avancé qu'à cause des coups qui lui avaient été assénés à la tête dans son pays, il oubliait souvent. Il a d'ailleurs repris cet argument dans son recours. Il n'a toutefois pas établi médicalement la réalité d'éventuels troubles de la mémoire par le dépôt d'un certificat approprié. L'aurait-il fait qu'a priori, cela ne justifierait pas encore ses nombreuses contradictions dans ses déclarations, à quoi s'ajoute qu'au stade du recours, il a encore modifié sa version des circonstances dans lesquelles il aurait appris, à l'hôpital, le meurtre de son amie. En outre, à l'instar de l'ODM, le Tribunal considère qu'à elles seules les cicatrices du recourant ne permettent pas d'admettre qu'elles résulteraient des blessures que lui auraient infligées les frères de son amie. De fait, aucun moyen, notamment aucun certificat médical, ne vient étayer ses allégations concernant son hospitalisation à Herat à la période qu'il a indiquée. Enfin, le rapport du Département d'Etat américain auquel il renvoie le Tribunal ne prouve pas ses allégations, vu que le rapport en question ne le concerne pas directement. Dans ces conditions, le Tribunal, qui renvoie pour le reste aux considérants de la décision attaquée, ne peut admettre la vraisemblance des déclarations du recourant.</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l'ODM prononce l'admission provisoire de l'étranger concerné. Celle-ci est réglée par l'art. 83 LEtr (RS 142.20).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7.1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w:t>
      </w:r>
    </w:p>
    <w:p>
      <w:r>
        <w:t>En ce qui concerne les autres engagements de la Suisse relevant du droit international, le recourant soutient en particulier que l'exécution de son renvoi serait contraire à l'art. 3 CEDH. Il sied donc d'examiner si cette disposition, qui interdit la torture, les peines ou traitements inhumains, trouve application dans le présent cas d'espèce.</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et non pas simplement du fait d'un hasard malheureux - par des mesures incompatibles avec la disposition en question (ATAF 2010/42 consid. 11.2 et 11.3 ; ATAF 2009/2 consid. 9.1).</w:t>
      </w:r>
    </w:p>
    <w:p>
      <w:r>
        <w:rPr>
          <w:b/>
        </w:rPr>
        <w:t>E. 7.4</w:t>
      </w:r>
    </w:p>
    <w:p>
      <w:r>
        <w:t>En l'occurrence, le Tribunal considère qu'au vu de l'invraisemblance du récit du recourant, telle que relevée plus haut, et du défaut de crédibilité des risques de persécution allégués, l'exécution de son renvoi ne transgresse aucun engagement de la Suisse relevant du droit international, de sorte qu'elle s'avère licite.</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 p. 1002 1004 et jurisp. cit.).</w:t>
      </w:r>
    </w:p>
    <w:p>
      <w:r>
        <w:rPr>
          <w:b/>
        </w:rPr>
        <w:t>E. 8.2</w:t>
      </w:r>
    </w:p>
    <w:p>
      <w:r>
        <w:t>En l'occurrence, le recourant a dit venir de Herat, dans l'ouest de l'Afghanistan. Le Tribunal considère que, du point de vue sécuritaire et humanitaire, la situation dans cette ville est aujourd'hui, comme dans la capitale Kaboul, moins critique que dans les autres parties de l'Afghanistan. Il estime en conséquence raisonnablement exigible l'exécution du renvoi de ceux qui en viennent s'ils y ont un solide réseau social, si un logement ainsi que le minimum vital leur est assuré et s'ils présentent un bon état de santé (ATAF 2011/38 consid. 4.3.1 p. 817 ss).</w:t>
      </w:r>
    </w:p>
    <w:p>
      <w:r>
        <w:rPr>
          <w:b/>
        </w:rPr>
        <w:t>E. 8.3</w:t>
      </w:r>
    </w:p>
    <w:p>
      <w:r>
        <w:t>Selon le recourant, toute sa famille, à savoir ses parents, ses (...) frères, ses (...) soeurs et de nombreux oncles et tantes, vit à Herat. Son père y exploiterait un commerce de (...). Au bénéfice d'une expérience professionnelle, le recourant aurait d'ailleurs travaillé dans le magasin familial. Son père semble être aussi à l'aise financièrement puisque, toujours selon le recourant, il a été en mesure de le provisionner à nouveau après qu'il s'est fait escroquer par un premier passeur qui aurait disparu avec les 4000 ou, selon les versions, 4500 euros qu'il lui aurait payés pour son voyage. En l'état, un soutien matériel paraît ainsi assuré au recourant à son retour chez lui. Enfin, celui-ci ne se prévaut pas de problèmes de santé de nature à faire obstacle à l'exécution de son renvoi.</w:t>
      </w:r>
    </w:p>
    <w:p>
      <w:r>
        <w:rPr>
          <w:b/>
        </w:rPr>
        <w:t>E. 8.4</w:t>
      </w:r>
    </w:p>
    <w:p>
      <w:r>
        <w:t>Dans ces conditions, la mesure précitée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