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E-6535/2006 vom 9. Juli 2007</w:t>
      </w:r>
    </w:p>
    <w:p>
      <w:r>
        <w:t>Bundesverwaltungsgericht, 2007-07-09, DE</w:t>
      </w:r>
    </w:p>
    <w:p>
      <w:r>
        <w:rPr>
          <w:b/>
        </w:rPr>
        <w:t xml:space="preserve">Quelle: </w:t>
      </w:r>
      <w:r>
        <w:t>https://mcp.opencaselaw.ch/entscheid/bvger_E-6535_2006</w:t>
      </w:r>
    </w:p>
    <w:p>
      <w:r>
        <w:t>FR: TAF E-6535/2006 du 9 juillet 2007</w:t>
      </w:r>
    </w:p>
    <w:p>
      <w:r>
        <w:t>IT: TAF E-6535/2006 del 9 luglio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einzutreten.</w:t>
      </w:r>
    </w:p>
    <w:p>
      <w:r>
        <w:rPr>
          <w:b/>
        </w:rPr>
        <w:t>E. 3.1</w:t>
      </w:r>
    </w:p>
    <w:p>
      <w:r>
        <w:t>Gemäss Art. 2 Abs. 1 AsylG gewährt die Schweiz grundsätzlich Flüchtlingen Asyl. Flüchtlinge sind Personen, die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rügt sinngemäss, der Beschwerdeführer sei von einem den Taliban nahestehenden Paschtunen bedroht worden und da die Taliban nach wie vor einflussreich seien und eine wesentliche Rolle spielen würden, könne der Beschwerdeführer nicht mit dem Schutz der afghanischen Behörden rechnen, da sie bei Übergriffen Dritter auf Angehörige der Hazara nicht schutzwillig seien. Das BFM sei somit zu Unrecht von der fehlenden Asylrelevanz der Vorbringen ausgegangen. Zur Stützung seines zentralen Vorbringens schidert der Beschwerdeführer in der Rechtsmitteleingabe verschiedene gewaltsame Ereignisse in Afghanistan, die den Taliban zuzurechnen seien.</w:t>
      </w:r>
    </w:p>
    <w:p>
      <w:r>
        <w:rPr>
          <w:b/>
        </w:rPr>
        <w:t>E. 4.2</w:t>
      </w:r>
    </w:p>
    <w:p>
      <w:r>
        <w:t>Für die Beurteilung der Flüchtlingseigenschaft ist die Situation im Zeitpunkt des Asylentscheides massgebend. Dabei ist einerseits die Frage nach der im Zeitpunkt der Ausreise aktuell vorhandenen Furcht zu stellen und anderseits zu prüfen, ob die Furcht vor einer absehbaren Verfolgung (noch) begründet ist. Veränderungen der objektiven Situation im Heimatstaat zwischen Ausreise und Asylentscheid sind zugunsten und zulasten des Beschwerdeführers zu berücksichtigen (vgl. die weiterhin geltende Praxis der ehemaligen ARK in Entscheidungen und Mitteilungen der Schweizerischen Asylrekurskommission / EMARK 2000 Nr. 2 E. 8b und 1994 Nr. 24 E. 8a). Massgebend für den Asylentscheid ist demnach die Situation im gegenwärtigen Zeitpunkt. Dazu ist festzustellen, dass eine aufgrund der früheren Bedrohung des Beschwerdeführers durch die Taliban befürchtete Verfolgung im heutigen Zeitpunkt nicht mehr als begründet erscheint (vgl. EMARK 2006 Nr. 9, 2003 Nr. 30 und 2003 Nr. 10). Im Zusammenhang mit der allgemeinen Lage in Afghanistan ist auf das in EMARK 2003 Nr. 10 publizierte Urteil zu verweisen, in welchem festgehalten wird, dass die Taliban ihre quasi-staatliche Herrschaft nach der internationalen militärischen Intervention vom Oktober 2001 verloren haben und erlittener oder befürchteter Verfolgung durch die Taliban daher grundsätzlich keine asylrechtliche Relevanz mehr zukommt. Somit erscheint die vom Beschwerdeführer geltend gemachte Furcht aufgrund der veränderten Lage nicht mehr gegeben, weshalb die Flüchtlinseigenschaft im heutigen Zeitpunkt diesbezüglich zu verneinen ist.</w:t>
      </w:r>
    </w:p>
    <w:p>
      <w:r>
        <w:rPr>
          <w:b/>
        </w:rPr>
        <w:t>E. 4.3</w:t>
      </w:r>
    </w:p>
    <w:p>
      <w:r>
        <w:t>Auch kann der Einwand, die örtlichen Behörden in Kabul würden den Angehörigen der Hazara generell den Schutz verweigern, ja sie gar aufgrund der ethnischen Zugehörigkeit generell selbst bedrohen, in dieser Form nicht gehört werden. Die Sicherheitskräfte und zuständigen Behörden insbesondere in Kabul sind vielmehr bestrebt, die Sicherheit ihrer Bevölkerung zu gewährleisten. Im Weiteren kann den Akten nicht entnommen werden, dass sich der Beschwerdeführer durch Aktivitäten zugunsten des ehemaligen kommunistischen Regimes oder der Taliban, durch regimekritische intellektuelle Tätigkeit oder sonstwie aus der heutigen politischen Situation betrachtet persönlich in gefährdender Weise exponiert hätte; demzufolge weist er schon aus diesem Grund kein Persönlichkeitsprofil auf, welches auf eine mögliche Gefährdung durch staatliche Behörden in Afghanistan hindeuten würde (vgl. die weiterhin geltende Praxis der ehemaligen ARK in Entscheidungen und Mitteilungen der Schweizerischen Asylrekurskommission / EMARK 2003 Nr. 10 E. 8c S. 64). Vor diesem Hintergrund erscheint auch die geltend gemachte Furcht des Beschwerdeführers vor privaten Racheakten nicht als objektiv begründet. Eine begründete Furcht des Beschwerdeführers vor asylrelevanter Verfolgung ist demnach zu verneinen.</w:t>
      </w:r>
    </w:p>
    <w:p>
      <w:r>
        <w:rPr>
          <w:b/>
        </w:rPr>
        <w:t>E. 4.4</w:t>
      </w:r>
    </w:p>
    <w:p>
      <w:r>
        <w:t>Aufgrund der vorstehenden Erwägungen erübrigt es sich, auf die weiteren Ausführungen in der Beschwerde im Einzelnen einzugehen, weil sie am Ergebnis nichts ändern können. Unter Berücksichtigung der gesamten Umstände folgt, dass der Beschwerdeführer keine Gründe nach Art. 3 AsylG nachweisen oder glaubhaft machen kann. Das Bundesamt hat sein Asylgesuch im Ergebnis zu Recht abgelehnt.</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vom 26. März 1931 [ANAG, SR 142.20]).</w:t>
      </w:r>
    </w:p>
    <w:p>
      <w:r>
        <w:rPr>
          <w:b/>
        </w:rPr>
        <w:t>E. 5.2</w:t>
      </w:r>
    </w:p>
    <w:p>
      <w:r>
        <w:t>Der Vollzug ist nicht möglich, wenn der Ausländer weder in den Herkunfts- oder in den Heimatstaat noch in einen Drittstaat ausreisen oder dorthin gebracht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und Art. 25 Abs. 2 der Bundesverfassung der Schweizerischen Eidgenossenschaft vom 18. April 1999 [BV, SR 101]).</w:t>
      </w:r>
    </w:p>
    <w:p>
      <w:r>
        <w:rPr>
          <w:b/>
        </w:rPr>
        <w:t>E. 5.4</w:t>
      </w:r>
    </w:p>
    <w:p>
      <w:r>
        <w:t>Gemäss Art. 25 Abs. 3 BV,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in einen Staat ausgeschafft werden, in dem ihm Folter oder eine andere Art unmenschlicher oder erniedrigender Strafe oder Behandlung droht.</w:t>
      </w:r>
    </w:p>
    <w:p>
      <w:r>
        <w:rPr>
          <w:b/>
        </w:rPr>
        <w:t>E. 6.1</w:t>
      </w:r>
    </w:p>
    <w:p>
      <w:r>
        <w:t>Die Vorinstanz erachtete den Vollzug der Wegweisung des Beschwerdeführers in den Heimatstaat als zulässig, zumutbar und möglich.</w:t>
      </w:r>
    </w:p>
    <w:p>
      <w:r>
        <w:rPr>
          <w:b/>
        </w:rPr>
        <w:t>E. 6.1.1</w:t>
      </w:r>
    </w:p>
    <w:p>
      <w:r>
        <w:t>In seinen Erwägungen hält das BFM zunächst fest, der Beschwerdeführer erfülle die Flüchtlingseigenschaft nicht, weshalb der Grundsatz der Nichtrückschiebung gemäss Art. 5 Abs. 1 AsylG keine Anwendung finde. Ferner seien aus den Akten keine Anhaltspunkte ersichtlich, wonach der Beschwerdeführer im Falle seiner Rückkehr in den Heimatstaat dort mit beachtlicher Wahrscheinlichkeit einer durch Art. 3 EMRK verbotenen Strafe oder Behandlung ausgesetzt wäre. Der Vollzug der Wegweisung sei damit zulässig.</w:t>
      </w:r>
    </w:p>
    <w:p>
      <w:r>
        <w:rPr>
          <w:b/>
        </w:rPr>
        <w:t>E. 6.1.2</w:t>
      </w:r>
    </w:p>
    <w:p>
      <w:r>
        <w:t>Im Weiteren führt das BFM aus, die Rückschaffung des Beschwerdeführers in dessen Heimatland erscheine angesichts der allgemeinen Lage in Afghanistan grundsätzlich als zumutbar, da in Afghanistan keine Situation allgemeiner Gewalt herrsche. Ferner sei die internationale Gemeinschaft mit Hilfeleistungen vor Ort und in Kabul sei die ISAF zur Gewährleistung der Sicherheit stationiert. Zudem seien keine individuellen Gründe ersichtlich, die gegen die Zumutbarkeit eines Wegweisungsvollzuges sprechen würden. Namentlich verfüge der Beschwerdeführer über ein Beziehungsnetz in Afghanistan.</w:t>
      </w:r>
    </w:p>
    <w:p>
      <w:r>
        <w:rPr>
          <w:b/>
        </w:rPr>
        <w:t>E. 6.1.3</w:t>
      </w:r>
    </w:p>
    <w:p>
      <w:r>
        <w:t>Der Vollzug der Wegweisung sei schliesslich technisch möglich und praktisch durchführbar.</w:t>
      </w:r>
    </w:p>
    <w:p>
      <w:r>
        <w:rPr>
          <w:b/>
        </w:rPr>
        <w:t>E. 6.2</w:t>
      </w:r>
    </w:p>
    <w:p>
      <w:r>
        <w:t>In seiner Beschwerdeschrift hält der Beschwerdeführer den vorinstanzlichen Ausführungen im Wesentlichen entgegen, der Minderheitenschutz bezüglich der Hazara sei nicht gewährleistet. Zudem müsse hier die spezielle Situation der jungen und ethnisch stark gemischten Familie berücksichtigt werden.</w:t>
      </w:r>
    </w:p>
    <w:p>
      <w:r>
        <w:rPr>
          <w:b/>
        </w:rPr>
        <w:t>E. 6.3</w:t>
      </w:r>
    </w:p>
    <w:p>
      <w:r>
        <w:t>In ihrer Vernehmlassung hält die Vorinstanz ihrerseits daran fest, die Beschwerdeschrift enthalte keine neuen erheblichen Tatsachen oder Beweistmittel, welche eine Änderung ihres Standpunktes rechtfertigen könnten.</w:t>
      </w:r>
    </w:p>
    <w:p>
      <w:r>
        <w:rPr>
          <w:b/>
        </w:rPr>
        <w:t>E. 7.1.1</w:t>
      </w:r>
    </w:p>
    <w:p>
      <w:r>
        <w:t>Der Beschwerdeführer konnte eine gemäss Art. 3 AsylG relevante Gefährdung nicht nachweisen oder glaubhaft machen. Die Normen des flüchtlingsrelevanten Non-refoulement-Prinzips (Art. 5 AsylG, Art. 25 Abs. 2 BV, Art. 33 des Abkommens vom 28. Juli 1951 über die Rechtsstellung der Flüchtlinge [FK, SR 0.142.30]) schützen jedoch nur Personen, welche die Flüchtlingseigenschaft gemäss Art. 3 AsylG beziehungsweise Art. 1 A FK erfüllen. Auf abgewiesene Asylbewerber mit fehlender Flüchtlingseigenschaft findet dieses Rückschiebeverbot keine Anwendung. Eine Rückkehr des Beschwerdeführers in seinen Heimatstaat ist unter dem Aspekt von Art. 5 AsylG und Art. 33 FK damit rechtmässig.</w:t>
      </w:r>
    </w:p>
    <w:p>
      <w:r>
        <w:rPr>
          <w:b/>
        </w:rPr>
        <w:t>E. 7.1.2</w:t>
      </w:r>
    </w:p>
    <w:p>
      <w:r>
        <w:t>Sodann ergeben sich weder aus den Vorbringen des Beschwerdeführers noch aus den Akten Anhaltspunkte dafür, dass ihm für den Fall einer Rückkehr nach Afghanistan dort mit beachtlicher Wahrscheinlichkeit eine nach Art. 3 EMRK oder Art. 1 FoK verbotene Strafe oder Behandlung drohen würde. Gemäss Praxis des Europäischen Gerichtshofes für Menschenrechte sowie jener des UN-Anti-Folterausschusses müsste der Beschwerdeführer eine konkrete Gefahr nachweisen oder glaubhaft machen, dass ihm im Falle einer Rückschiebung Folter oder unmenschliche Behandlung drohen (vgl. EMARK 2001 Nr. 16 S. 122, Nr. 17 S. 130 f. sowie 1996 Nr. 18 S. 182 ff. mit weiteren Hinweisen). Dies kann der Beschwerdeführer jedoch nicht dartun. Im Weiteren findet das Vorbringen des Beschwerdeführers in der Rechtsmitteleingabe, wonach seine junge Familie ethnisch stark gemischt sei, in den Akten keine hinreichende Stütze; zudem ist die Ehe des Beschwerdeführers in der Zwischenzeit geschieden, sodass dieser Umstand ohnehin weggefallen wäre.</w:t>
      </w:r>
    </w:p>
    <w:p>
      <w:r>
        <w:rPr>
          <w:b/>
        </w:rPr>
        <w:t>E. 7.1.3</w:t>
      </w:r>
    </w:p>
    <w:p>
      <w:r>
        <w:t>Der Vollzug der Wegweisung des Beschwerdeführers nach Afghanistan ist folglich zulässig.</w:t>
      </w:r>
    </w:p>
    <w:p>
      <w:r>
        <w:rPr>
          <w:b/>
        </w:rPr>
        <w:t>E. 7.2</w:t>
      </w:r>
    </w:p>
    <w:p>
      <w:r>
        <w:t>Aus humanitären Gründen, nicht in Erfüllung völkerrechtlicher Pflichten der Schweiz, wird auf den Vollzug der Wegweisung verzichtet, wenn die Rückkehr in den Heimatstaat für den Betroffenen eine konkrete Gefährdung darstellt und aus diesem Grund nicht zumutbar ist. Eine solche Gefährdung kann angesichts der im Heimatland herrschenden allgemeinen politischen Lage, die sich durch Krieg, Bürgerkrieg oder durch eine Situation allgemeiner Gewalt kennzeichnet, oder aufgrund anderer Gefahrenmomente, wie beispielsweise dem Fehlen einer notwendigen medizinischen Behandlungsmöglichkeit, angenommen werden (vgl. Botschaft zum Bundesbeschluss über das Asylverfahren vom 22. Juni 1990, BBl 1990 II 668).</w:t>
      </w:r>
    </w:p>
    <w:p>
      <w:r>
        <w:rPr>
          <w:b/>
        </w:rPr>
        <w:t>E. 7.2.1</w:t>
      </w:r>
    </w:p>
    <w:p>
      <w:r>
        <w:t>Die ARK hat sich in EMARK 2003 Nr. 10 und 30 eingehend zur Lage in Kabul geäussert und die Unterschiede zwischen dem Grossraum Kabul und anderen Regionen Afghanistans dargestellt. Infolge der vergleichsweise günstigeren Situation hat sie den Wegweisungsvollzug nach Kabul unter bestimmten strengen Voraussetzungen, insbesondere einem tragfähigen Beziehungsnetz und einer gesicherten Wohnsituation, als zumutbar erachtet. In einem weiteren Urteil vom 25. Januar 2006, publiziert in EMARK 2006 Nr. 9, bestätigte und aktualisierte die ARK ihre Rechtsprechung aus dem Jahre 2003. Zusätzlich zu Kabul erachtete sie den Wegweisungsvollzug in weitere Provinzen im Norden von Kabul (Parwan, Baghlan, Takhar, Badakhshan, Kunduz, Balkh, Sari Pul, Herat und die Gegend von Samangan) unter den in EMARK 2003 Nr. 10 erwogenen strengen Bedingungen als zumutbar. In den übrigen Provinzen würden hingegen weiterhin militärische Aktivitäten stattfinden und eine permanente Unsicherheit bestehen, weshalb ein Wegweisungsvollzug dorthin nach wie vor als unzumutbar zu betrachten sei. Das Bundesverwaltungsgericht sieht aktuell keine Veranlassung, von dieser Rechtsprechung abzuweichen.</w:t>
      </w:r>
    </w:p>
    <w:p>
      <w:r>
        <w:rPr>
          <w:b/>
        </w:rPr>
        <w:t>E. 7.2.2</w:t>
      </w:r>
    </w:p>
    <w:p>
      <w:r>
        <w:t>Der Beschwerdeführer ist eigenen Angaben zufolge ethnischer Hazara und lebte seit seiner Geburt bis zur Ausreise in der Hauptstadt Kabul. Laut Aussagen des Beschwerdeführers wohnten im Zeitpunkt seiner Ausreise seine Eltern, ein Bruder und zwei Schwestern in Kabul. Zwar ist aktenkundig, dass der Beschwerdeführer über den Jahreswechsel 2004/2005 seinen offenbar kranken Vater in Pakistan besuchte, wobei der Beschwerdeführer nach seiner Rückkehr in die Schweiz über die aktuelle Situation seines Vaters jedoch nichts zu den Akten reichte. Es ist jedenfalls nichts aktenkundig, wonach engere Verwandte des Beschwerdeführers nicht weiterhin in Kabul leben würden, wo der Beschwerdeführer zudem auch über weitere Verwandtschaft verfügen dürfte. Sodann darf auch die Wohnsituation des Beschwerdeführers als gesichert gelten.</w:t>
      </w:r>
    </w:p>
    <w:p>
      <w:r>
        <w:rPr>
          <w:b/>
        </w:rPr>
        <w:t>E. 7.2.3</w:t>
      </w:r>
    </w:p>
    <w:p>
      <w:r>
        <w:t>Im Weiteren hat der Beschwerdeführer mit vier Jahren Primarschule und fünf Jahren Gymnasium eine solide Schulbildung und verfügt gemäss eigenen Angaben über Berufserfahrung als Geschäftsleiter und Miteigentümer eines Lebensmittelladens. Auch ist aufgrund der Aktenlage davon auszugehen, dass der Beschwerdeführer in Berücksichtigung etwa der zur Verfügung gestellten finanziellen Mittel anlässlich des Freikaufes des Angestellten einer eher vermögenden Familie entstammt. Es ist somit davon auszugehen, dass der Beschwerdeführer nach seiner Rückkehr wieder bei seiner Familie wird leben und sich mit deren Unterstützung auch eine wirtschaftliche Existenz wird aufbauen können. Es steht dem Beschwerdeführer folglich offen und es ist ihm zuzumuten, sich wieder in der Stadt Kabul niederzulassen. Insgesamt ergeben sich aus den Akten damit keinerlei Hinweise auf ein spezifisches Schutzbedürfnis des Beschwerdeführers.</w:t>
      </w:r>
    </w:p>
    <w:p>
      <w:r>
        <w:rPr>
          <w:b/>
        </w:rPr>
        <w:t>E. 7.2.4</w:t>
      </w:r>
    </w:p>
    <w:p>
      <w:r>
        <w:t>Nach dem Gesagten ist der Vollzug der Wegweisung durch Rückschaffung des Beschwerdeführers zumutbar.</w:t>
      </w:r>
    </w:p>
    <w:p>
      <w:r>
        <w:rPr>
          <w:b/>
        </w:rPr>
        <w:t>E. 7.3</w:t>
      </w:r>
    </w:p>
    <w:p>
      <w:r>
        <w:t>Der Rückkehr des Beschwerdeführers stellen sich schliesslich auch keine unüberwindlichen Hindernisse tatsächlicher Natur entgegen. Insbesonderer obliegt es dem Beschwerdeführer, sich in Zusammenarbeit mir der Vorinstanz bei der zuständigen Vertretung seines Heimatlandes die für eine Rückreise notwendigen Dokumente zu beschaffen (Art. 8 Abs. 4 AsylG), weshalb der Vollzug der Wegweisung auch als möglich zu bezeichnen ist.</w:t>
      </w:r>
    </w:p>
    <w:p>
      <w:r>
        <w:rPr>
          <w:b/>
        </w:rPr>
        <w:t>E. 7.4</w:t>
      </w:r>
    </w:p>
    <w:p>
      <w:r>
        <w:t>Der vom Bundesamt verfügte Wegweisungsvollzug steht daher in Übereinstimmung mit den zu beachtenden Bestimmungen und ist insgesamt zu bestätigen. Die Vorinstanz hat den Vollzug der Wegweisung zu Recht als zulässig, zumutbar und möglich erachtet. Nach dem Gesagten fällt eine Anordnung der vorläufigen Aufnahme ausser Betracht (Art. 14a Abs. 1 - 4 ANAG).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Beschwerdeverfahrens sind die Kosten im Betrage von Fr. 600.--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