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E-6525/2013 vom 4. Dezember 2013</w:t>
      </w:r>
    </w:p>
    <w:p>
      <w:r>
        <w:t>Bundesverwaltungsgericht, 2013-12-04, FR</w:t>
      </w:r>
    </w:p>
    <w:p>
      <w:r>
        <w:rPr>
          <w:b/>
        </w:rPr>
        <w:t xml:space="preserve">Quelle: </w:t>
      </w:r>
      <w:r>
        <w:t>https://mcp.opencaselaw.ch/entscheid/bvger_E-6525_2013</w:t>
      </w:r>
    </w:p>
    <w:p>
      <w:r>
        <w:t>FR: TAF E-6525/2013 du 4 décembre 2013</w:t>
      </w:r>
    </w:p>
    <w:p>
      <w:r>
        <w:t>IT: TAF E-6525/2013 del 4 dicembre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L'ODM a retenu que les déclarations du recourant étaient contradictoires, insuffisamment fondées, manifestement invrai-semblables et ne satisfaisaient pas aux exigences posées à l'art. 7 LAsi.</w:t>
      </w:r>
    </w:p>
    <w:p>
      <w:r>
        <w:rPr>
          <w:b/>
        </w:rPr>
        <w:t>E. 3.2</w:t>
      </w:r>
    </w:p>
    <w:p>
      <w:r>
        <w:t>Quant au recourant, il conteste l'appréciation faite par l'ODM et estime que ses déclarations sont détaillées et exemptes de contradictions, à tout le moins sur les points essentiels de son récit.</w:t>
      </w:r>
    </w:p>
    <w:p>
      <w:r>
        <w:rPr>
          <w:b/>
        </w:rPr>
        <w:t>E. 3.3</w:t>
      </w:r>
    </w:p>
    <w:p>
      <w:r>
        <w:t>En l'espèce, le Tribunal estime que c'est à juste titre que l'ODM a retenu que les allégations du recourant n'étaient pas vraisemblables. L'intéressé s'est en effet exprimé de façon contradictoire sur des points essentiels et a tenu des propos insuffisamment fondés et illogiques ; la chronologie des principaux événements, prétendument vécus, est en outre incohérente. Le Tribunal relève quelques éléments d'invraisemblance dans les paragraphes qui suivent. Ainsi, après avoir d'abord affirmé que les policiers avaient découvert les documents et un drapeau à son domicile le 27 février 2013, le recourant a ensuite déclaré que cela s'était produit en janvier 2013, avant de se référer à la date du 5 février 2013. Il a également tenu des propos contradictoires quant au moment où aurait débuté la surveillance policière à son égard: avant ou après la découverte des documents et du drapeau et, par ricochet, avant ou après sa détention. L'intéressé n'a pas été constant sur la date à laquelle son épouse aurait été frappée par les policiers, laissant tomber son fils qu'elle portait dans ses bras à terre, parlant tantôt du jour de son arrestation, tantôt d'une date ultérieure ; il n'a pas été plus constant sur le moment à partir duquel il n'aurait plus eu de contact avec sa femme (depuis son arrestation ou depuis son départ du pays). Ensuite, le recourant a tenu des propos vagues concernant la durée de son séjour chez son frère à C._______ (trois ou quatre mois) et ses différents lieux de séjour à Addis Abeba. Par ailleurs, son discours est lacunaire et peu circonstancié, notamment quant aux circonstances du décès de son père, à la description des documents trouvés à son domicile par la police, à la nature de ses activités en faveur de D._______ et à ses connaissances de ce mouvement. Pour finir, il sied de relever que le recourant n'a transmis aucun moyen de preuve - ni d'ailleurs de document d'identité - qui permettrait d'étayer certaines de ses allégations. Pour le reste, il est renvoyé aux considérants détaillés de la décision entreprise.</w:t>
      </w:r>
    </w:p>
    <w:p>
      <w:r>
        <w:rPr>
          <w:b/>
        </w:rPr>
        <w:t>E. 3.4</w:t>
      </w:r>
    </w:p>
    <w:p>
      <w:r>
        <w:t>Il ressort de ce qui précède que les motifs exposés par le recourant ne répondent manifestement pas aux exigences de vraisemblance fixées par l'art. 7 LAsi.</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l'espèce, l'exécution du renvoi du recourant ne contrevient ni au principe du non-refoulement de l'art. 5 LAsi, ni à aucun engagement de la Suisse relevant du droit international. Comme exposé plus haut, le recourant n'a pas rendu vraisemblable qu'il serait exposé à de sérieux préjudices au sens de l'art. 3 LAsi, ni qu'il courrait un risque, personnel et concret d'être soumis à un traitement prohibé par l'art. 3 CEDH ou contraire à l'art. 3 Conv. torture en cas de retour en Ethiopie.</w:t>
      </w:r>
    </w:p>
    <w:p>
      <w:r>
        <w:rPr>
          <w:b/>
        </w:rPr>
        <w:t>E. 6.3</w:t>
      </w:r>
    </w:p>
    <w:p>
      <w:r>
        <w:t>Dès lors, l'exécution du renvoi du recourant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De jurisprudence constante, l'exécution du renvoi vers l'Ethiopie est en principe considérée comme raisonnablement exigible (ATAF 2011/25 consid. 8.3 p. 520 et réf. cit.). Malgré les tensions qui persistent, en particulier avec l'Erythrée, cet Etat ne connaît pas actuellement une situation de guerre, de guerre civile ou de violence généralisée sur l'ensemble de son territoire qui permettrait d'emblée - indépendamment des circonstances du cas d'espèce - de présumer, à propos de tous les ressortissants de ce pays, l'existence d'une mise en danger concrète au sens de l'art. 83 al. 4 LEtr.</w:t>
      </w:r>
    </w:p>
    <w:p>
      <w:r>
        <w:rPr>
          <w:b/>
        </w:rPr>
        <w:t>E. 7.3</w:t>
      </w:r>
    </w:p>
    <w:p>
      <w:r>
        <w:t>Il ne ressort du dossier aucun élément dont on pourrait inférer que l'exécution du renvoi impliquerait une mise en danger concrète du recourant. A cet égard, le Tribunal relève que celui-ci est jeune, au bénéfice d'une expérience professionnelle en tant que cuisinier et ébéniste et n'a pas allégué de problème de santé particulier. Au demeurant, le recourant dispose d'un réseau familial dans son pays, sur lequel il pourra compter à son retour. Selon ses déclarations, sa mère, sa femme et son fils vivent à Addis Abeba, ses quatre frères et soeurs en Ethiopie.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des documents de voyage lui permettant de quitter la Suisse. L'exécution du renvoi ne se heurte donc pas à des obstacles insurmontables d'ordre technique et s'avère également possible (ATAF 2008/34 consid. 12 p. 513 515).</w:t>
      </w:r>
    </w:p>
    <w:p>
      <w:r>
        <w:rPr>
          <w:b/>
        </w:rPr>
        <w:t>E. 9</w:t>
      </w:r>
    </w:p>
    <w:p>
      <w:r>
        <w:t>Il s'ensuit que le recours, en tant qu'il conteste la décision de renvoi et son exécution, doit être également rejeté.</w:t>
      </w:r>
    </w:p>
    <w:p>
      <w:r>
        <w:rPr>
          <w:b/>
        </w:rPr>
        <w:t>E. 10</w:t>
      </w:r>
    </w:p>
    <w:p>
      <w:r>
        <w:t>Il est renoncé à un échange d'écritures (art. 111a al. 1 LAsi).</w:t>
      </w:r>
    </w:p>
    <w:p>
      <w:r>
        <w:rPr>
          <w:b/>
        </w:rPr>
        <w:t>E. 11.1</w:t>
      </w:r>
    </w:p>
    <w:p>
      <w:r>
        <w:t>Dans la mesure où il est statué au fond, la demande de dispense du versement d'une avance de frais est sans objet (art. 63 al. 4 PA).</w:t>
      </w:r>
    </w:p>
    <w:p>
      <w:r>
        <w:rPr>
          <w:b/>
        </w:rPr>
        <w:t>E. 11.2</w:t>
      </w:r>
    </w:p>
    <w:p>
      <w:r>
        <w:t>Au vu de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