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E-6522/2020 vom 17. September 2021</w:t>
      </w:r>
    </w:p>
    <w:p>
      <w:r>
        <w:t>Bundesverwaltungsgericht, 2021-09-17, DE</w:t>
      </w:r>
    </w:p>
    <w:p>
      <w:r>
        <w:rPr>
          <w:b/>
        </w:rPr>
        <w:t xml:space="preserve">Quelle: </w:t>
      </w:r>
      <w:r>
        <w:t>https://mcp.opencaselaw.ch/entscheid/bvger_E-6522_2020</w:t>
      </w:r>
    </w:p>
    <w:p>
      <w:r>
        <w:t>FR: TAF E-6522/2020 du 17 septembre 2021</w:t>
      </w:r>
    </w:p>
    <w:p>
      <w:r>
        <w:t>IT: TAF E-6522/2020 del 17 settembre 2021</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daher zur Beurteilung der vorliegenden Beschwerde zuständig.</w:t>
      </w:r>
    </w:p>
    <w:p>
      <w:r>
        <w:rPr>
          <w:b/>
        </w:rPr>
        <w:t>E. 1.2</w:t>
      </w:r>
    </w:p>
    <w:p>
      <w:r>
        <w:t>Rechtsverweigerungs- und -verzögerungsbeschwerden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Vorliegend ersuchte der Beschwerdeführer um Gewährung des Familienasyls zugunsten von B._______. Über das Gesuch hat die Vorinstanz in Form einer anfechtbaren Verfügung zu befinden. Der Beschwerdeführer ist daher zur Beschwerdeführung legitimiert.</w:t>
      </w:r>
    </w:p>
    <w:p>
      <w:r>
        <w:rPr>
          <w:b/>
        </w:rPr>
        <w:t>E. 1.3</w:t>
      </w:r>
    </w:p>
    <w:p>
      <w:r>
        <w:t>Beschwerde gegen das unrechtmässige Verweigern oder Verzögern einer Verfügung kann jederzeit geführt werden (Art. 50 Abs. 2 VwVG).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Jene muss darlegen, dass sie zur Zeit der Beschwerdeeinreichung ein schutzwürdiges - mithin aktuelles und praktisches - Interesse an der Vornahme der verzögerten Amtshandlung respektive der Feststellung einer entsprechenden Rechtsverzögerung hat (vgl. Moser/Beusch/Kneubühler, Prozessieren vor dem Bundesverwaltungsgericht, 2. Aufl. 2013, Rz. 5.23). Der Zeitpunkt der Beschwerdeerhebung ist vorliegend nicht zu beanstanden und das schutzwürdige Interesse des Beschwerdeführers an der Vornahme der Amtshandlung ergibt sich aus der Tatsache, dass das SEM trotz wiederholter Intervention des Beschwerdeführers bis anhin in der Sache nicht entschieden hat.</w:t>
      </w:r>
    </w:p>
    <w:p>
      <w:r>
        <w:rPr>
          <w:b/>
        </w:rPr>
        <w:t>E. 1.4</w:t>
      </w:r>
    </w:p>
    <w:p>
      <w:r>
        <w:t>Gestützt auf die vorstehenden Erwägungen ist auf die nach Massgabe von Art. 52 Abs. 1 VwVG formgerecht eingereichte Beschwerde einzutreten.</w:t>
      </w:r>
    </w:p>
    <w:p>
      <w:r>
        <w:rPr>
          <w:b/>
        </w:rPr>
        <w:t>E. 1.5</w:t>
      </w:r>
    </w:p>
    <w:p>
      <w:r>
        <w:t>Das Verfahren richtet sich nach dem VwVG, dem VGG und dem BGG, soweit das AsylG nichts anderes bestimmt (Art. 37 VGG und Art. 6 AsylG).</w:t>
      </w:r>
    </w:p>
    <w:p>
      <w:r>
        <w:rPr>
          <w:b/>
        </w:rPr>
        <w:t>E. 2</w:t>
      </w:r>
    </w:p>
    <w:p>
      <w:r>
        <w:t>Die Prüfungsbefugnis des Bundesverwaltungsgerichts beschränkt sich vorliegend auf die Frage, ob die Vorinstanz das Rechtsverweigerungs- beziehungsweise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Rechtsverweigerung oder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 Eine Rechtsverweigerung liegt namentlich vor, wenn eine Behörde sich weigert, eine Verfügung zu erlassen, obwohl sie dazu aufgrund der einschlägigen Rechtsnormen verpflichtet wäre. 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auf Lehre und Praxis).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das Urteil des BVGer E-1438/2018 vom 5. April 2018 E. 3.2 m.w.H.).</w:t>
      </w:r>
    </w:p>
    <w:p>
      <w:r>
        <w:rPr>
          <w:b/>
        </w:rPr>
        <w:t>E. 3.2</w:t>
      </w:r>
    </w:p>
    <w:p>
      <w:r>
        <w:t>Das Bundesverwaltungsgericht hat Kenntnis von den hohen Pendenzenzahlen der Vorinstanz. Es ist unvermeidbar und nachvollziehbar, dass gewisse Verfahren - insbesondere dann, wenn sich Abklärungsmassnahmen aufdrängen - länger dauern können. Vorliegend kann jedoch nicht von einer gerechtfertigten Verfahrensverzögerung ausgegangen werden, insbesondere, da die Vorinstanz mehrmals und über einen längeren Zeitraum ohne ersichtlichen Grund untätig geblieben ist. Das Bundesverwaltungsgericht stellt fest, dass seit dem Einreichen des Gesuchs um Familiennachzug und der daraufhin erfolgten Einreisebewilligung vom 28. Februar 2018 bis zum Zeitpunkt der Beschwerdeerhebung fast dreieinhalb Jahre vergangen sind, ohne dass der Ehefrau des Beschwerdeführers ein Einreisevisum erteilt wurde. Obwohl nach verschiedenen Anfragen zum Verfahrensstand jeweils Amtshandlungen vorgenommen wurden, erfolgte bis zum Einreichen der Beschwerde ein vorinstanzlicher Verfahrensschritt letztmals am 28. November 2019 (beziehungsweise am 15. Dezember 2019). Die hiernach gestellten Anfragen nach dem Verfahrensstand (Anfragen vom 9. Dezember 2019, 3. Februar 2020, 16. März 2020 und 15. Juli 2020) blieben allesamt unbeantwortet. Den Akten sind im Zeitraum zwischen dem 15. Dezember 2019 (Information an das SEM über den Inhalt der letzten Befragung von B._______ vom 28. November 2019) und der Beschwerdeeinreichung über ein Jahr später keine Verfahrensschritte zu entnehmen. Die Vorinstanz führt in ihrer Vernehmlassung sodann auch aus, das Verfahren habe tatsächlich sehr lange gedauert und es sei nicht zu rechtfertigen, dass die wiederholten Anfragen zum Verfahrensstand unbeantwortet geblieben seien. Sie begründet dies damit, die Anspruchsberechtigte (B._______) trage eine kausale Mitverantwortung an der langen Verfahrensdauer, da sie sich nicht habe ausweisen können, ein Beweismittel als Fälschung qualifiziert worden sei und die Befragung auf der Botschaft erst am 28. November 2019 habe erfolgen können, da sie zunächst falsche Angaben zu ihren Sprachkenntnissen gemacht habe. Im Übrigen sei die Erteilung von Einreisebewilligungen aufgrund der Covid-19-Pandemie im Jahr 2020 zeitweise sistiert worden. Es ist indessen nicht ersichtlich, weshalb die Botschaft und das SEM zwischen ihren Amtshandlungen jeweils derart viel Zeit verstreichen liessen und nach Abschluss der letzten ausführlichen Befragung von B._______ weiterhin über ein Jahr untätig blieben. Dies kann nicht einzig mit Sistierungen aufgrund der Covid-19-Pandemie gerechtfertigt werden, die im Übrigen auch nicht aktenkundig sind. Auch die Erklärungen betreffend Übersetzungsprobleme gehen ins Leere, zeigen doch die Ausführungen der Botschaft vom 13. November 2018, dass B._______ bereits damals anhand des Fragekatalogs befragt werden konnte. Es ist ferner auch nicht nachvollziehbar, weshalb die Anfragen zum Verfahrensstand über einen Zeitraum von mehr als einem Jahr gänzlich unbeantwortet blieben. Eine solch lange Verfahrensdauer erscheint trotz der notwendigen Abklärungen zu lange, da einerseits ein erster aktenkundiger Verfahrensschritt erst sieben Monate nach Gesuchseinreichung getätigt wurde. Anderseits ist die Vorinstanz nach Abschluss der notwendigen Abklärungen erneut und ohne ersichtlichen Grund untätig geblieben, weshalb das Beschleunigungsgebot von Art. 29 Abs. 1 BV verletzt ist. Die Rüge der Rechtsverzögerung erweist sich somit als begründet. Indessen sind den Akten und Ausführungen der Vorinstanz keine ausreichenden Hinweise dafür zu entnehmen, dass diese nicht gewillt wäre oder sich grundsätzlich weigern würde, eine Verfügung zu erlassen.</w:t>
      </w:r>
    </w:p>
    <w:p>
      <w:r>
        <w:rPr>
          <w:b/>
        </w:rPr>
        <w:t>E. 4</w:t>
      </w:r>
    </w:p>
    <w:p>
      <w:r>
        <w:t>Nach dem Gesagten ist die Beschwerde gutzuheissen. Die Akten gehen an die Vorinstanz zurück, verbunden mit der Anweisung, den Beschwerdeführer umgehend über den Stand des Verfahrens und insbesondere darüber zu informieren, ob die Identifikation von B._______ rechtsgenüglich vorgenommen werden konnte und das Gesuch um Familiennachzug beförderlich - das heisst unter Vermeidung weiterer Phasen der Nichtbearbeitung - fortzuführen. Sollte das SEM keinen weiteren Abklärungs- oder Instruktionsbedarf erkennen, ist das Verfahren innert weniger Wochen mittels einer Verfügung erstinstanzlich abzuschliessen. Wider Erwarten dennoch bestehender Abklärungs- oder Instruktionsbedarf wäre konkret und substanziell aktenkundig zu machen und dem Beschwerdeführer mitzuteilen.</w:t>
      </w:r>
    </w:p>
    <w:p>
      <w:r>
        <w:rPr>
          <w:b/>
        </w:rPr>
        <w:t>E. 5.1</w:t>
      </w:r>
    </w:p>
    <w:p>
      <w:r>
        <w:t>Bei diesem Ausgang des Verfahrens sind keine Kosten zu erheben (Art. 63 Abs. 1 und 2 VwVG).</w:t>
      </w:r>
    </w:p>
    <w:p>
      <w:r>
        <w:rPr>
          <w:b/>
        </w:rPr>
        <w:t>E. 5.2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Unter Berücksichtigung der aktualisierten Kostennote vom 28. Januar 2021 (Replik S. 3) wurde ein Vertretungsaufwand von insgesamt Fr. 1'410.80 geltend gemacht, ausgehend von einem zeitlichen Aufwand von 7 Stunden zu einem Stundenansatz von Fr. 193.85.- (inkl. MWST) sowie einem mit Blick auf das Dossier plausibel erscheinenden Auslagenersatz von Fr. 53.85, was in Anbetracht des Obsiegens nicht zu beanstanden ist (vgl. Art. 10 und Art. 11 Abs. 3. VGKE). Die Eingabe vom 3. August 2021 (Verfahrensstand) hat indessen keinen ausschlaggebenden Charakter für den Ausgang des Verfahrens und vermag aus diesem Grund auch nicht einen notwendigen Aufwand darzustellen, womit sie nicht zusätzlich zu entschädigen ist. Die von der Vorinstanz auszurichtende Parteientschädigung beträgt somit insgesamt Fr. 1'411.- (inklusive Auslagen und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