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E-6522/2015 vom 15. Oktober 2015</w:t>
      </w:r>
    </w:p>
    <w:p>
      <w:r>
        <w:t>Bundesverwaltungsgericht, 2015-10-15, DE</w:t>
      </w:r>
    </w:p>
    <w:p>
      <w:r>
        <w:rPr>
          <w:b/>
        </w:rPr>
        <w:t xml:space="preserve">Quelle: </w:t>
      </w:r>
      <w:r>
        <w:t>https://mcp.opencaselaw.ch/entscheid/bvger_E-6522_2015</w:t>
      </w:r>
    </w:p>
    <w:p>
      <w:r>
        <w:t>FR: TAF E-6522/2015 du 15 octobre 2015</w:t>
      </w:r>
    </w:p>
    <w:p>
      <w:r>
        <w:t>IT: TAF E-6522/2015 del 15 ottobre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auf das Asylgesuch grundsätzlich nicht ein.</w:t>
      </w:r>
    </w:p>
    <w:p>
      <w:r>
        <w:rPr>
          <w:b/>
        </w:rPr>
        <w:t>E. 3.2</w:t>
      </w:r>
    </w:p>
    <w:p>
      <w:r>
        <w:t>Die Schlussfolgerungen der Vorinstanz sind weder in tatsächlicher noch in rechtlicher Hinsicht zu beanstanden. Die Beschwerde zeigt nicht auf, inwiefern die Vorinstanz Bundesrecht verletzt oder den Sachverhalt fehlerhaft festgestellt haben soll. Solches ist auch nicht ersichtlich. Die Vorinstanz hat aufgrund der Aussagen der Beschwerdeführerin zu Recht die Zuständigkeit Italiens erkannt und die italienischen Behörden - gestützt auf Art. 13 Abs. 1 und Art. 21 Abs. 1 Dublin-III-VO - um Übernahme ersucht. Für die Annahme der Zuständigkeit genügen Indizien (Art. 13 Abs. 1 Dublin-III-VO). Dass Italien nicht ausdrücklich Stellung genommen hat, bleibt ohne Bedeutung. Bereits mit Fristablauf wird die Zustimmung fingiert. Italien ist somit verpflichtet, die Person aufzunehmen und angemessene Vorkehrungen für die Ankunft zu treffen (Art. 22 Abs. 7 Dublin-III-VO). Die Ausführungen der Beschwerdeführerin - ihre Verbundenheit zu ihrer Halbschwester und die Integration in der Schweiz - vermögen die Schlussfolgerung der Vorinstanz nicht umzustossen oder in Frage zu stellen. Im Übrigen hat die Vorinstanz zu Recht einen Selbsteintritt ausgeschlossen (Art. 17 Dublin-III-VO) und ist auf das Asylgesuch nicht eingetreten.</w:t>
      </w:r>
    </w:p>
    <w:p>
      <w:r>
        <w:rPr>
          <w:b/>
        </w:rPr>
        <w:t>E. 4</w:t>
      </w:r>
    </w:p>
    <w:p>
      <w:r>
        <w:t>Aus diesen Erwägungen ergibt sich, dass die angefochtene Verfügung Bundesrecht nicht verletzt und auch sonst nicht zu beanstanden ist (Art. 106 AsylG und Art. 49 VwVG). Die Beschwerde ist abzuweisen.</w:t>
      </w:r>
    </w:p>
    <w:p>
      <w:r>
        <w:rPr>
          <w:b/>
        </w:rPr>
        <w:t>E. 5</w:t>
      </w:r>
    </w:p>
    <w:p>
      <w:r>
        <w:t>Bei diesem Ausgang des Verfahrens sind die Kosten von Fr. 600.- (Art. 1-3 des Reglements vom 21. Februar 2008 über die Kosten und Entschädigungen vor dem Bundesverwaltungsgericht [VGKE], SR 173.320.2) der Beschwerdeführerin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