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E-6522/2013 vom 15. Oktober 2014</w:t>
      </w:r>
    </w:p>
    <w:p>
      <w:r>
        <w:t>Bundesverwaltungsgericht, 2014-10-15, DE</w:t>
      </w:r>
    </w:p>
    <w:p>
      <w:r>
        <w:rPr>
          <w:b/>
        </w:rPr>
        <w:t xml:space="preserve">Quelle: </w:t>
      </w:r>
      <w:r>
        <w:t>https://mcp.opencaselaw.ch/entscheid/bvger_E-6522_2013</w:t>
      </w:r>
    </w:p>
    <w:p>
      <w:r>
        <w:t>FR: TAF E-6522/2013 du 15 octobre 2014</w:t>
      </w:r>
    </w:p>
    <w:p>
      <w:r>
        <w:t>IT: TAF E-6522/2013 del 15 ottobre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Verfahren richtet sich nach dem VwVG, dem VGG und dem BGG, soweit das AsylG nichts anderes bestimmt (Art. 37 VGG und Art. 6 AsylG).</w:t>
      </w:r>
    </w:p>
    <w:p>
      <w:r>
        <w:rPr>
          <w:b/>
        </w:rPr>
        <w:t>E. 2.2</w:t>
      </w:r>
    </w:p>
    <w:p>
      <w:r>
        <w:t>Gemäss Absatz 1 der Übergangsbestimmungen zur Änderung des Asylgesetzes vom 14. Dezember 2012 gilt für die im Zeitpunkt des In-krafttretens der Rechtsänderung (am 1. Februar 2014) hängigen Verfah-ren mit Ausnahme der Absätze 2-4 das neue Recht. "Hängige Verfahren" im Sinne von Absatz 1 der Übergangsbestimmungen sind auch beim Bundesverwaltungsgericht hängige Beschwerdeverfahren (vgl. dazu das Urteil des BVGer E-662/2014 vom 17. März 2014 E. 2.3 und 2.4.1-2.4.3, m.w.H.). Auf diese ist somit neues Recht anzuwenden, zumal keine der in den Absätzen 2-4 der Übergangsbestimmungen genannten Ausnahmen greift.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5.27 m.w.H.). Aufgrund der Subsidiarität des flüchtlingsrechtlichen Schutzes setzt die Anerkennung der Flüchtlingseigenschaft ausserdem voraus, dass die betroffene Person in ihrem Heimat- oder Herkunftsstaat keinen ausreichenden Schutz finden kann (vgl. BVGE 2008/12 E. 7.2.6.2, BVGE 2008/4 E. 5.2).</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hegt in der angefochtenen Verfügung Zweifel an der Glaubwürdigkeit des Beschwerdeführers, weil seine Ausführungen zu den Ereignissen, welche zu seinen Verletzungen geführt hätten, substanzlos geschildert worden und ausweichend ausgefallen seien. Das Bundesverwaltungsgericht kommt nach eingehender Prüfung der Akten zum Schluss, dass der Einwand in der Beschwerde, gewisse Ungereimtheiten könnten mit der grossen Verunsicherung des Beschwerdeführers erklärt werden, nicht von der Hand zu weisen ist. Vorab ist festzuhalten, dass das BFM an der Homosexualität des Beschwerdeführer nicht zweifelt und das Bundesverwaltungsgericht keinen Anlass sieht, dies zu tun, zumal der Beschwerdeführer seine Lebensgeschichte in weiten Teilen glaubhaft zu schildern vermag (vgl. z.B. die freie Schilderung seiner Entwicklung vom Kind zum Jugendlichen, die Realzeichen, wie etwa die Erwähnung unwesentlicher Details, enthält, A15/11 S. 2, F7 oder ebd. S. 5, F33, wo er ungefragt erklärend anführt, die (...) hätten wahrscheinlich Wasser von ihnen gewollt). Zwar wurden in den letzten Jahren - insbesondere von Seiten diverser NGO - vermehrt Anstrengungen unternommen, der gesellschaftlichen Ächtung von Homosexuellen in der Mongolei entgegenzuwirken. Dennoch ist ohne Weiteres davon auszugehen, dass das feindlich eingestellte Umfeld den rund (...) Beschwerdeführer intensiv geprägt hat; eine gewisse Unsicherheit wird durchaus aus den Protokollen ersichtlich, der Beschwerdeführer verweist auch auf seinen Stress und seine Vergesslichkeit, weil er sich immer unwohl fühle wegen seines Lebens als Homosexueller (vgl. A15/11 S. 8, F74). Auf der anderen Seite ergeben sich aber aus den Vorbringen des Beschwerdeführers auch Widersprüche, die damit nicht erklärt werden können, so etwa, wenn er einmal aussagt, er habe während (...) Jahre vor seiner Ausreise bei seinem Bruder gelebt (A15/11 S. 6, F46), und danach angibt, er habe nur einmal seinen Bruder um Hilfe gebeten und ansonsten (...) Jahre bzw. (...) auf der (...) geschlafen (ebd. F49 und 51). Auf Beschwerdestufe vermag er diese Unstimmigkeit nicht zu beseitigen, zumal er in diesem Zusammenhang nun geltend macht, der eigentliche Auslöser der Flucht sei das Verschwinden seines Freundes F._______ gewesen, (...) vor seiner Ausreise. Weil er mit ihm vereinbart habe, dass sie sich in Sicherheit ins Ausland begeben würden, sobald dem einen etwas zustosse bzw. einer verschwinden würde, habe er dann seinen Bruder angerufen, der ihm Geld für die Ausreise gegeben habe (vgl. Bericht von (...) S. 2). Auch in zeitlicher Hinsicht lässt sich das nicht vereinbaren mit der an der Anhörung gemachten Aussage, er habe (...) vor der Ausreise keinen Kontakt mehr zu seinem Freund F._______ gehabt (vgl. A15/11 S. 8, F65). Zusammenfassend kommt das Bundesverwaltungsgericht zum Schluss, dass zwar die Vorbringen des Beschwerdeführers nicht in allen Punkten glaubhaft sind, allerdings keinesfalls ausgeschlossen werden kann, dass der Beschwerdeführer aufgrund seiner Homosexualität in der Mongolei schikaniert worden ist und auch körperliche Übergriffe erlitten hat.</w:t>
      </w:r>
    </w:p>
    <w:p>
      <w:r>
        <w:rPr>
          <w:b/>
        </w:rPr>
        <w:t>E. 5.2</w:t>
      </w:r>
    </w:p>
    <w:p>
      <w:r>
        <w:t>Zu Recht hat aber das BFM geschlossen, die Vorbringen des Beschwerdeführers seien nicht asylrelevant.</w:t>
      </w:r>
    </w:p>
    <w:p>
      <w:r>
        <w:rPr>
          <w:b/>
        </w:rPr>
        <w:t>E. 5.2.1</w:t>
      </w:r>
    </w:p>
    <w:p>
      <w:r>
        <w:t>Dazu hat es im angefochtenen Entscheid ausgeführt, der Beschwerdeführer berufe sich auf seine Homosexualität und auf mehrere in diesem Zusammenhang stattgefundene Gewaltereignisse von Seiten dritter Personen. Grundsätzlich werde jedoch vom Schutzwillen und der Schutzfähigkeit der mongolischen Sicherheitsbehörden ausgegangen und die bestehende Schutzinfrastruktur als genügend erachtet.</w:t>
      </w:r>
    </w:p>
    <w:p>
      <w:r>
        <w:rPr>
          <w:b/>
        </w:rPr>
        <w:t>E. 5.2.2</w:t>
      </w:r>
    </w:p>
    <w:p>
      <w:r>
        <w:t>Das Bundesverwaltungsgericht teilt diese Einschätzung. Das Flüchtlingsrecht ist subsidiär ausgestaltet. Demnach ist ein Bedürfnis nach internationalem Schutz dann anerkannt, wenn der Heimatstaat des Betroffenen keinen Schutz bieten will oder kann (vgl. Entscheidungen und Mitteilungen der ehemaligen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dem Betroffenen darüber hinaus zugänglich sein (vgl. zu dieser sogenannten Schutztheorie BVGE 2011/51 E. 7.1 bis 7.4 m.H.). Zwar ist die Gesellschaft in der Mongolei Homosexuellen gegenüber feindlich eingestellt, und sie sind vielfältigen Diskriminierungen, Anfeindungen und bisweilen tätlichen Angriffen ausgesetzt (vgl. u.a. US State Department, Country Reports on Human Rights Practices for 2013, Mongolia). Allerdings konnte in den letzten Jahren eine gewisse Verbesserung der Situation festgestellt werden. Seit 1999 gibt es die Organisation "Tavilan" und seit 2009 setzt sich das LGBT Centre für die Rechte von Homosexuellen ein und führt Sensibilisierungskampagnen (darunter auch bei der mongolischen Polizei) durch. Auch das mongolische Parlament setzte sich vermehrt mit der Thematik auseinander und beteiligte sich zusammen mit internationalen Organisationen und diplomatischen Vertretern im September 2013 an der ersten Pride Week des Landes (vgl. US State Department, a.a.O.; Bilerico Project, An LGBT Centre in Ulaanbaatar, Mongolia, 6.3.2011; Urteil des BVGer E-6320/2013 vom 26. Februar 2014 E. 3.2). Wesentlich ist in diesem Zusammenhang festzuhalten, dass der Bundesrat die Mongolei mit Beschluss vom 28. Juni 2000 als verfolgungssicheren Staat (Safe Country) im Sinne von Art. 6a Abs. 2 Bst. a AsylG bezeichnet hat. Massgebliche Kriterien für eine solche Bezeichnung sind die Einhaltung der Menschenrechte und die Anwendung internationaler Konventionen im Menschenrechtsbereich. Diesbezüglich ist jüngst positiv zu vermerken, dass die gegenwärtige Regierung der Mongolei unter dem 2013 wiedergewählten Präsidenten Elbegdorj weiterhin auf eine moderate Reformpolitik setzt, wobei unter anderem als wichtiges Element die Rechtsstaatlichkeit gilt und positive Entwicklungen in der Korruptionsbekämpfung vermeldet werden (vgl. Konrad-Adenauer-Stiftung [KAS], Tsakhia Elbegdorj wiedergewählt, 3.7.2013). Im Sinne einer Regelvermutung ist demnach grundsätzlich vom Schutzwillen und von der Schutzfähigkeit des mongolischen Staates auszugehen (vgl. Urteil des BVGer D-1068/2012 vom 30. April 2012 E. 6.2-6.4 m.w.H.).</w:t>
      </w:r>
    </w:p>
    <w:p>
      <w:r>
        <w:rPr>
          <w:b/>
        </w:rPr>
        <w:t>E. 5.2.3</w:t>
      </w:r>
    </w:p>
    <w:p>
      <w:r>
        <w:t>Homosexualität ist in der Mongolei nicht verboten und die vom Beschwerdeführer geltend gemachten Gewaltereignisse sind strafrechtlich relevant. Gemäss eigenen Angaben brachte er aber weder den Vorfall in (...) noch die anderen tätlichen Übergriffe auf seine Person zur Anzeige. Eine gewisse Scheu des Beschwerdeführers, sich an die mongolischen Sicherheitsbehörden zu wenden, ist zwar aufgrund der erwähnten, in der mongolischen Gesellschaft weit verbreiteten feindlichen Einstellung gegenüber Homosexuellen verständlich. Dennoch gelingt es mit seinen nur allgemeinen Hinweisen auf Beschwerdestufe auf die Situation der LGBT in der Mongolei nicht, die Regelvermutung, die staatlichen mongolischen Behörden seien schutzwillig und - fähig im Sinne der erwähnten Rechtsprechung, umzustossen; vielmehr wäre es ihm zuzumuten gewesen, bzw. ist es dies auch in Zukunft, die mongolischen Sicherheitsbehörden um Schutz zu ersuchen, allenfalls mit Hilfe seines Bruders oder einer einschlägigen NGO. Soweit er auf Beschwerdestufe nun plötzlich geltend macht, er sei auch von Seiten der Polizeibehörden tätlichen Übergriffen ausgesetzt gewesen (vgl. Beschwerdeeingabe S. 4 mit Hinweis), führt dies zu keiner anderen Einschätzung, ist doch dieses Vorbringen als nachgeschoben zu erachten, nachdem er anlässlich der BzP ausdrücklich verneint hatte, mit Behörden oder Organisationen Probleme gehabt zu haben (vgl. A7/10 S. 7), und solches auch anlässlich der Anhörung nicht geltend machte. Diesbezüglich vermag er auch aus einer gewissen allgemeinen Unsicherheit nichts zu seinen Gunsten abzuleiten. Bei dieser Sachlage ist nicht weiter auf die eingereichten Beweismittel einzugehen.</w:t>
      </w:r>
    </w:p>
    <w:p>
      <w:r>
        <w:rPr>
          <w:b/>
        </w:rPr>
        <w:t>E. 5.3</w:t>
      </w:r>
    </w:p>
    <w:p>
      <w:r>
        <w:t>Zusammenfassend vermag der Beschwerdeführer keine Verfolgung im Sinne von Art. 3 AsylG nachzuweisen oder zumindest glaubhaft zu machen und die Vorinstanz hat zu Recht die Flüchtlingseigenschaft verneint und das Asylgesuch abgelehnt.</w:t>
      </w:r>
    </w:p>
    <w:p>
      <w:r>
        <w:rPr>
          <w:b/>
        </w:rPr>
        <w:t>E. 6.1</w:t>
      </w:r>
    </w:p>
    <w:p>
      <w:r>
        <w:t>Lehnt das BFM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BFM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Rückkehr in die Mongolei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Eine Rückkehr in die Mongolei erweist sich unter Berücksichtigung der aktuellen politischen Lage, der Menschenrechtssituation und der allgemeinen Lebensumstände als zumutbar. Zurzeit besteht dort offensichtlich keine Situation von Krieg, Bürgerkrieg oder allgemeiner Gewalt, aufgrund welcher eine konkrete Gefährdung des Beschwerdeführers anzunehmen wäre. Wie an anderer Stelle bereits anerkannt, mag eine Rückkehr für den Beschwerdeführer aufgrund der gesellschaftlichen Umstände in seinem Heimatland nicht einfach sein. Dennoch ist auch in seinen individuellen Umständen kein Vollzugshindernis im Sinne einer konkreten Gefährdung zu sehen. In wirtschaftlicher Hinsicht dürfte es ihm gelingen, nach einer Rückkehr in die Mongolei, wieder eine Arbeit als (...) zu finden, zumal er angegeben hatte, früher als solche (...) gearbeitet zu haben. Darüber hinaus habe sein Bruder ein kleines (...). Trotz des Zerwürfnisses mit seiner Familie kann auch davon ausgegangen werden, der Beschwerdeführer verfüge über soziale Bindungen im Heimatstaat, auf die er nötigenfalls zurückgreifen könnte, unter anderem zu seinem Bruder, der ihn vor der Ausreise unterstützt hatte, in welcher Form auch immer. Der pauschale Einwand in der Beschwerde, der Bruder sei inzwischen erkrankt, vermag daran nichts zu ändern. Im Übrigen ist auch nicht ausgeschlossen, dass der Beschwerdeführer zu seinem Partner F._______ wieder Kontakt aufnehmen kann, zumal seine Angaben zu dessen Verschwinden ebenfalls nicht als glaubhaft erachtet werden können (vgl. oben E. 5.1).</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Beschwerdeführer aufzuerlegen (Art. 63 Abs. 1 und 5 VwVG). Indessen wurde der mit der Beschwerdeeingabe gestellte Antrag auf unentgeltliche Prozessführung im Sinne von Art. 65 Abs. 1 VwVG mit Zwischenverfügung vom 29. November 2013 gutgeheissen und aus den Akten ergibt sich keine Veränderung in den finanziellen Verhältnissen des Beschwerdeführers.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