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E-6517/2016 vom 16. April 2018</w:t>
      </w:r>
    </w:p>
    <w:p>
      <w:r>
        <w:t>Bundesverwaltungsgericht, 2018-04-16, DE</w:t>
      </w:r>
    </w:p>
    <w:p>
      <w:r>
        <w:rPr>
          <w:b/>
        </w:rPr>
        <w:t xml:space="preserve">Quelle: </w:t>
      </w:r>
      <w:r>
        <w:t>https://mcp.opencaselaw.ch/entscheid/bvger_E-6517_2016</w:t>
      </w:r>
    </w:p>
    <w:p>
      <w:r>
        <w:t>FR: TAF E-6517/2016 du 16 avril 2018</w:t>
      </w:r>
    </w:p>
    <w:p>
      <w:r>
        <w:t>IT: TAF E-6517/2016 del 16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Der Beschwerdeführerin wurde mit Zwischenverfügung vom 9. September 2016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3.3</w:t>
      </w:r>
    </w:p>
    <w:p>
      <w:r>
        <w:t>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gelangt in der angefochtenen Verfügung zum Schluss, die von der Beschwerdeführerin geltend gemachte Reflexverfolgung wegen der Desertion ihres Ehemannes vermöge den Anforderungen an die Asylrelevanz gemäss Art. 3 AsylG nicht standzuhalten. Zwischen ihrer zweimonatigen Inhaftierung im Jahr 2011 und der Ausreise im Jahr 2014 oder Januar 2015 bestehe kein zeitlicher Kausalzusammenhang. Aufgrund des ereignislosen Zeitraums zwischen Haftentlassung und Ausreise erscheine die Furcht vor zukünftiger Verfolgung unbegründet. Wären die heimatlichen Behörden an einer Fortführung der Reflexverfolgung interessiert gewesen, könne erwartet werden, dass es in diesem Zeitraum zu weiteren Übergriffen gekommen wäre. Angesichts dessen, dass die Beschwerdeführerin unbehelligt geblieben sei, sei dies ein starkes Indiz dafür, dass seitens der eritreischen Behörden kein Verfolgungsinteresse mehr bestanden habe. An dieser Einschätzung vermöge auch die Aussage ihres Cousins nichts zu ändern.</w:t>
      </w:r>
    </w:p>
    <w:p>
      <w:r>
        <w:rPr>
          <w:b/>
        </w:rPr>
        <w:t>E. 5.2</w:t>
      </w:r>
    </w:p>
    <w:p>
      <w:r>
        <w:t>In der Rechtsmitteleingabe äussert sich die Beschwerdeführerin zu diesen Ausführungen der Vorinstanz nicht, mithin rügt sie diesbezüglich weder eine Bundesrechtsverletzung noch eine unrichtige oder unvollständige Sachverhaltsfeststellung (Art. 106 Abs. 1 AsylG). Solches ist auch nicht ersichtlich. Um Wiederholungen zu vermeiden, kann vollumfänglich auf die zutreffenden Erwägungen in der angefochtenen Verfügung verwiesen werden.</w:t>
      </w:r>
    </w:p>
    <w:p>
      <w:r>
        <w:rPr>
          <w:b/>
        </w:rPr>
        <w:t>E. 6.1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6.2</w:t>
      </w:r>
    </w:p>
    <w:p>
      <w:r>
        <w:t>Die Vorinstanz gelangt in der angefochtenen Verfügung weiter zum Schluss, die illegale Ausreise sei aufgrund einer neuen Beurteilung nicht mehr asylrelevant.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demnach eine untergeordnete Rolle. Die Beschwerdeführerin habe weder den Nationaldienst verweigert noch sei sie desertiert. Sie habe auch nie geltend gemacht, jemals in den Nationaldienst einberufen worden zu sein. Angesichts ihres Zivilstandes sowie ihrer vier Kind sei nicht anzunehmen, dass sie seitens der eritreischen Behörden zum Zeitpunkt der Ausreise als dienstpflichtig eingestuft worden sei. Sie habe somit nicht gegen die Proclamation on National Service von 1995 verstossen. Den Akten seien auch sonst keine Anhaltspunkte zu entnehmen, wonach sie bei einer Rückkehr nach Eritrea ernsthafte Nachteile zu gewärtigen hätte. Ihre Vorbringen bezüglich der illegalen Ausreise seien somit asylrechtlich unbeachtlich.</w:t>
      </w:r>
    </w:p>
    <w:p>
      <w:r>
        <w:rPr>
          <w:b/>
        </w:rPr>
        <w:t>E. 6.3</w:t>
      </w:r>
    </w:p>
    <w:p>
      <w:r>
        <w:t>In der Rechtsmitteleingabe wird die Praxisänderung der Vorinstanz kritisiert und dargelegt, weshalb die Vorgehensweise und die veränderte Praxis nicht zulässig seien.</w:t>
      </w:r>
    </w:p>
    <w:p>
      <w:r>
        <w:rPr>
          <w:b/>
        </w:rPr>
        <w:t>E. 6.4</w:t>
      </w:r>
    </w:p>
    <w:p>
      <w:r>
        <w:t>Das Bundesverwaltungsgericht kam im Referenzurteil D-7898/2015 vom 30. Januar 2017 zum Schluss, dass die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vorgenanntes Referenzurteil E. 5.2).</w:t>
      </w:r>
    </w:p>
    <w:p>
      <w:r>
        <w:rPr>
          <w:b/>
        </w:rPr>
        <w:t>E. 6.5</w:t>
      </w:r>
    </w:p>
    <w:p>
      <w:r>
        <w:t>Die Frage der Zulässigkeit der Praxisänderung der Vorinstanz bezüglich der flüchtlingsrechtlichen Beurteilung der illegalen Ausreise aus Eritrea ist vom Bundesverwaltungsgericht somit geklärt worden, weshalb nicht näher auf die in der Rechtsmitteleingabe geäusserte Kritik einzugehen ist. Das Gericht kam zu Schluss, dass allein aufgrund einer illegalen Ausreise keine begründete Furcht vor asylrechtlich beachtlicher Verfolgung angenommen werden könne (vgl. vorgenanntes Referenzurteil E. 5.1). Bei der Beschwerdeführerin liegen überdies keine zusätzlichen Anknüpfungspunkte vor, welche zu einer Schärfung ihres Profils führen. Wie vorstehend dargelegt, sind die Vorbringen bezüglich einer allfälligen Reflexverfolgung wegen der Desertion ihres Ehemannes nicht asylrelevant. In Übereinstimmung mit der Vorinstanz ist zudem festzustellen, dass die Beschwerdeführerin nie eine Einberufung in den Nationaldienst vor ihrer Ausreise vorbrachte. Da sie zudem bereits im Alter von 14 oder 15 Jahren heiratete und vier Kinder zur Welt brachte, ist davon auszugehen, dass sie von der Dienstpflicht befreit wurde (vgl. Referenzurteil D-2311/2016 vom 17. August 2017 E. 12.5 mit Hinweis auf entsprechende Berichte). Für eine drohende asylrelevante Verfolgung bestehen somit keine Anhaltspunkte. Vor diesem Hintergrund kann die Frage offen bleiben, ob die illegale Ausreise der Beschwerdeführerin glaubhaft ist.</w:t>
      </w:r>
    </w:p>
    <w:p>
      <w:r>
        <w:rPr>
          <w:b/>
        </w:rPr>
        <w:t>E. 6.6</w:t>
      </w:r>
    </w:p>
    <w:p>
      <w:r>
        <w:t>Zusammenfassend ist festzuhalten, dass die Beschwerdeführerin keine Fluchtgründe glaubhaft machen oder nachweisen kann. Die Vorinstanz hat zu Recht die Flüchtlingseigenschaft der Beschwerdeführerin verneint und ihr Asylgesuch abgewiesen.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8.3</w:t>
      </w:r>
    </w:p>
    <w:p>
      <w:r>
        <w:t>Im Referenzurteil D-2311/2016 vom 17. August 2017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könne jedoch offen gelassen werden (vgl. vorgenanntes Referenzurteil E. 13.2).</w:t>
      </w:r>
    </w:p>
    <w:p>
      <w:r>
        <w:rPr>
          <w:b/>
        </w:rPr>
        <w:t>E. 8.4</w:t>
      </w:r>
    </w:p>
    <w:p>
      <w:r>
        <w:t>Im vorliegenden Fall bestehen keine Anhaltspunkte dafür, dass der heute 43-jährigen Beschwerdeführerin bei einer Rückkehr nach Eritrea ein Einzug in den Nationaldienst droht. Es ist davon auszugehen, dass ihre seinerzeit persönlichen Umstände als junge verheiratete Ehefrau und Mutter dazu geführt haben, dass sie vom Militärdienst freigestellt wurde (vgl. vorstehend E. 6.5). Folglich ist auch nicht davon auszugehen, dass bei einer Rückkehr in ihren Heimatstaat nun ein Aufgebot zur Leistung des Dienstes ergehen würde.</w:t>
      </w:r>
    </w:p>
    <w:p>
      <w:r>
        <w:rPr>
          <w:b/>
        </w:rPr>
        <w:t>E. 8.5</w:t>
      </w:r>
    </w:p>
    <w:p>
      <w:r>
        <w:t>Offenbleiben kann die Frage, ob die Beschwerdeführerin über den Diaspora-Status verfügt, nachdem nicht davon auszugehen ist, dass ihr bei einer Rückkehr eine Rekrutierung für den Nationaldienst droht. Dasselbe gilt für die Frage, ob der Nationaldienst in Eritrea gegen Art. 3 EMRK oder gegen das Verbot der Zwangsarbeit nach Art. 4 Abs. 2 EMRK verstösst. Sodann ergeben sich aus den Akten auch keine anderen Anhaltspunkte dafür, dass die Beschwerdeführerin für den Fall einer Ausschaffung nach Eritrea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8.7</w:t>
      </w:r>
    </w:p>
    <w:p>
      <w:r>
        <w:t>Zur Frage der Zumutbarkeit des Wegweisungsvollzugs nach Eritrea hat das Bundesverwaltungsgericht im vorgenannten Referenzurteil eine aktualisierte Lageanalyse vorgenommen.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8.8</w:t>
      </w:r>
    </w:p>
    <w:p>
      <w:r>
        <w:t>Die Beschwerdeführerin stammt aus B._______, Subzoba C._______ (vgl. SEM-Akten A3/11 Ziff. 1.07), Zoba D._______. Gemäss ihren Angaben lebt die Mutter in B._______ und kümmert sich um die vier Söhne der Beschwerdeführerin. Zudem wohnt eine Schwester von ihr in der Subzoba C._______ (vgl. SEM-Akten a.a.O. Ziff. 3.01). Die Beschwerdeführerin kann somit bei einer Rückkehr nach Eritrea auf ein Beziehungsnetz zurückgreifen. Nach ihrer Haft im Jahr 2011 hat sie sodann Geld verdient. Sie hat das Land ihrer Mutter sowie ein Stück Land von Verwandten bewirtschaften dürfen und das Getreide und Gemüse auf dem Markt verkaufen können (vgl. SEM-Akten A13/20 F153 ff.). Es ist deshalb nicht davon auszugehen, dass die Beschwerdeführerin bei einer Rückkehr nach Eritrea in eine existentielle Notlage geraten wird. Nach dem Gesagten erweist sich der Vollzug der Wegweisung unter Berücksichtigung der aktualisierten Rechtsprechung als zumutbar.</w:t>
      </w:r>
    </w:p>
    <w:p>
      <w:r>
        <w:rPr>
          <w:b/>
        </w:rPr>
        <w:t>E. 8.9</w:t>
      </w:r>
    </w:p>
    <w:p>
      <w:r>
        <w:t>Die Beschwerdeführerin hat eine eritreische Identitätskarte eingereicht. Es obliegt ihr,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8.10</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keine Veranlassung. Die Beschwerde ist abzuweisen.</w:t>
      </w:r>
    </w:p>
    <w:p>
      <w:r>
        <w:rPr>
          <w:b/>
        </w:rPr>
        <w:t>E. 10</w:t>
      </w:r>
    </w:p>
    <w:p>
      <w:r>
        <w:t>Bei diesem Ausgang des Verfahrens wären die Kosten grundsätzlich der Beschwerdeführerin aufzuerlegen (Art. 63 Abs. 1 VwVG). Indes wurde ihr mit Zwischenverfügung vom 26. Oktober 2016 die unentgeltliche Prozessführung gewährt, weshalb vorliegend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