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E-6506/2014 vom 2. Februar 2016</w:t>
      </w:r>
    </w:p>
    <w:p>
      <w:r>
        <w:t>Bundesverwaltungsgericht, 2016-02-02, DE</w:t>
      </w:r>
    </w:p>
    <w:p>
      <w:r>
        <w:rPr>
          <w:b/>
        </w:rPr>
        <w:t xml:space="preserve">Quelle: </w:t>
      </w:r>
      <w:r>
        <w:t>https://mcp.opencaselaw.ch/entscheid/bvger_E-6506_2014</w:t>
      </w:r>
    </w:p>
    <w:p>
      <w:r>
        <w:t>FR: TAF E-6506/2014 du 2 février 2016</w:t>
      </w:r>
    </w:p>
    <w:p>
      <w:r>
        <w:t>IT: TAF E-6506/2014 del 2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Vorliegend kommt das Bundesverwaltungsgericht zum Schluss, dass der Beschwerdeführer glaubhaft dargelegt hat, dass er - wie zahlreiche andere Teilnehmer auch - nach den Präsidentschaftswahlen im Jahr 2009 bis zum Aschura-Fest Ende desselben Jahres an Protestveranstaltungen in Teheran teilgenommen hat. Entgegen der vorinstanzlichen Einschätzung können seine entsprechenden Angaben als grundsätzlich widerspruchsfrei, hinreichend substantiiert und plausibel gelten (vgl. A1/13 S. 6, A40/15 S. 3, 10; Beschwerde S. 3). Hingegen erachtet es das SEM, wie sich aus nachstehenden Erwägungen erhellt, im Ergebnis zu Recht als nicht glaubhaft, dass er in seinem Heimatland verfolgt worden ist. Die zur Begründung dieser Schlussfolgerung angeführten Erwägungen der Vorinstanz vermögen grundsätzlich zu überzeugen. Der Beschwerdeführer nennt als unmittelbar ausreiserelevanten Vorfluchtgrund die behördliche Suche nach ihm infolge seiner letzten Teilnahme an einer Kundgebung. Dieses Vorbringen erscheint indessen aus den folgenden Gründen wenig glaubhaft.</w:t>
      </w:r>
    </w:p>
    <w:p>
      <w:r>
        <w:rPr>
          <w:b/>
        </w:rPr>
        <w:t>E. 4.2</w:t>
      </w:r>
    </w:p>
    <w:p>
      <w:r>
        <w:t>Zunächst ist festzuhalten dass seine Erklärung in Bezug auf den Grund für den Zeitpunkt der Suche nach ihm (A40/15 S. 6) nicht überzeugt. Eigenen Angaben zufolge sei die letzte Demonstration, an der er teilgenommen habe, am Aschura-Fest gewesen (A40/15 S. 3). Nach der Aschura-Demonstration sei er mit einem Kollegen nach C._______ gefahren. Er sei nur nach dieser Demonstration dorthin gefahren, weil er gemerkt habe, dass die Situation sehr gefährlich geworden sei (A40/15 S. 7). Dabei erscheint jedoch der Umstand, dass er just in dem Moment nach C._______ gefahren sei, als die Behörde ihn zu Hause aufgesucht habe, nicht plausibel, zumal er auch angegeben hat, sich nach den Demonstrationen grundsätzlich immer mit Freunden in den Parks getroffen zu haben beziehungsweise, falls es nötig erschienen sei, nach Hause gegangen zu sein (A40/15 S. 7). Weshalb gerade diese Demonstrations-Teilnahme heikler und gefährlicher hätte sein sollen als die Teilnahme an anderen Kundgebungen, wird aus der Erzählung des Beschwerdeführers jedenfalls nicht ersichtlich. Auch in zeitlicher Hinsicht sind die Schilderungen des Beschwerdeführers nicht schlüssig. Namentlich gab er an, am Tag des Aschura-Festes letztmals demonstriert zu haben. Daraufhin sei er mit seinem Freund nach C._______ gefahren. Am nächsten Tag, sprich am 23. Juni 2010, sei er - nachdem er durch seine Mutter von der behördlichen Suche nach ihm erfahren habe - schliesslich ausgereist. Wie die Vorinstanz zu Recht festhielt, wird der zehnte Tag des Monats Muharram (erster Monat im islamischen Kalender) Aschura genannt. Das alljährlich stattfindende Aschura-Fest wurde im Jahr 2009 nach hiesigem Kalender am 27. Dezember 2009 gefeiert. Folglich kann sein Vorbringen, er habe einen Tag nach der Aschura-Demonstration den Iran verlassen, nicht zutreffen. Zudem hätten die heimatlichen Behörden mit überwiegender Wahrscheinlichkeit nicht nur ein einziges Mal, sondern mehrmals nach ihm gesucht, wenn sie ihn tatsächlich hätten festnehmen wollen. In der BzP gab der Beschwerdeführer jedoch zu Protokoll, dass die Sicherheitskräfte nach seiner Ausreise nicht mehr gekommen seien (A1/13 S. 7). Die auf Beschwerdestufe geltend gemachte Suche nach ihm im Frühling 2014 ist sodann als nachgeschoben zu erachten beziehungsweise steht nicht im Zusammenhang mit seinen Vorfluchtgründen. Auch der Umstand, dass sie nur den Beschwerdeführer und nicht auch seinen Freund, welcher ebenfalls an Demonstrationen teilgenommen habe, aufgesucht hätten, erscheint wenig überzeugend (A40/15 S. 8). Als realitätsfremd muss zudem die überstürzte Ausreise bezeichnet werden; insbesondere vermag der Umstand, wie er die 10'000 US-Dollar erhalten habe, welche er für die Reise bezahlt habe, nicht zu überzeugen. Im Übrigen hat der Beschwerdeführer mehrere Demonstrationen aufgezählt, an denen er teilgenommen habe (A40/15 S. 3) und erklärt, vorher bereits im Internet aktiv gewesen zu sein. Dennoch ist nicht nachvollziehbar, inwiefern diese Aktivitäten das Interesse der iranischen Behörden hätten wecken können, zumal gemäss seinen eigenen Angaben Millionen Leute auf der Strasse gewesen seien und demonstriert hätten (A40/15 S. 4) und er sein Facebook-Profil zwar mit eigenen Bildern, jedoch unter einem erfundenen Namen politisch kritisch unterhalten habe (A40/15 S. 5). Schliesslich erscheint auch sein erst im Laufe des Beschwerdeverfahrens geltend gemachtes Vorbringen, wonach er im Rahmen seiner Tätigkeit [Zugang zu brisanten Informationen gehabt habe] und diese Informationen den Volksmodjahedin weitergeleitet habe, als nachgeschoben. Dabei vermag auch seine Begründung, weshalb er seine berufliche Tätigkeit bagatellisiert habe - er habe vernommen, dass der iranische Geheimdienst auch in der Schweiz sehr aktiv sei, weshalb er grosse Angst gehabt habe - nicht zu überzeugen. Zudem ist das auf Beschwerdestufe eingereichte Bestätigungsschreiben des Vereins des iranischen Widerstandes (Anhänger der Volksmodjahedin) vom 13. Februar 2015 als Gefälligkeitsschreiben zu qualifizieren, weshalb ihm kein grosser Beweiswert beigemessen werden kann.</w:t>
      </w:r>
    </w:p>
    <w:p>
      <w:r>
        <w:rPr>
          <w:b/>
        </w:rPr>
        <w:t>E. 4.3</w:t>
      </w:r>
    </w:p>
    <w:p>
      <w:r>
        <w:t>Zusammenfassend ist festzuhalten, dass es das Gericht zwar für glaubhaft hält, dass der Beschwerdeführer im Heimatland an Kundgebungen teilgenommen hat; dem Beschwerdeführer ist es aber nicht gelungen, den unmittelbaren Anlass, der ihn zur Ausreise aus seinem Heimatland bewegt haben soll - die behördliche Suche nach ihm infolge Teilnahmen an Kundgebungen beziehungsweise der Aschura-Demonstration und wegen seines politischen Engagements -, glaubhaft aufzuzeigen. Vor der Ausreise aus dem Iran bestand für ihn somit weder eine asylbeachtliche Verfolgungssituation noch eine entsprechende Verfolgungsgefahr. Die geltend gemachten Fluchtgründe zum Zeitpunkt seiner Ausreise aus dem Heimatland sind damit nicht geeignet, seine Flüchtlingseigenschaft zu begründen, weshalb die Vorinstanz das Asylgesuch des Beschwerdeführers zu Recht abgelehnt hat.</w:t>
      </w:r>
    </w:p>
    <w:p>
      <w:r>
        <w:rPr>
          <w:b/>
        </w:rPr>
        <w:t>E. 5</w:t>
      </w:r>
    </w:p>
    <w:p>
      <w:r>
        <w:t>Somit bleibt zu prüfen, ob der Beschwerdeführer durch sein Verhalten nach der Ausreise aus dem Iran, namentlich aufgrund der geltend gemachten exilpolitischen Tätigkeiten in der Schweiz, Grund für eine zukünftige Verfolgung durch die heimatlichen Behörden gesetzt hat und aus diesem Grund (infolge subjektiver Nachfluchtgründe) die Flüchtlingseigenschaft erfüllt.</w:t>
      </w:r>
    </w:p>
    <w:p>
      <w:r>
        <w:rPr>
          <w:b/>
        </w:rPr>
        <w:t>E. 5.1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Wesentlich ist, ob die heimatlichen Behörden das Verhalten des Asylsuchenden als staatsfeindlich einstufen würden und dieser deswegen bei einer Rückkehr in den Heimatstaat eine Verfolgung im Sinne von Art. 3 AsylG befürchten müsste (vgl. BVGE 2009/29 E. 5.1 und E. 7.1; 2009/28, beide mit weiteren Hinweisen). 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FK).</w:t>
      </w:r>
    </w:p>
    <w:p>
      <w:r>
        <w:rPr>
          <w:b/>
        </w:rPr>
        <w:t>E. 5.2</w:t>
      </w:r>
    </w:p>
    <w:p>
      <w:r>
        <w:t>Vorab ist festzuhalten, dass die vom Beschwerdeführer geltend gemachte Verfolgung im Heimatland - wie aus den vorangehenden Erwägungen hervorgeht - als nicht glaubhaft erachtet wird, weshalb nicht davon auszugehen ist, dass er den iranischen Behörden im Zeitpunkt seiner Ausreise als politischer Aktivist bekannt gewesen und entsprechend registriert worden ist. Sodann hielt das Bundesverwaltungsgericht in seinem Urteil D 7272/2013 vom 5. November 2014 fest, dass nach wie vor grundsätzlich von einer beunruhigenden Menschenrechtssituation im Iran auszugehen ist. Zutiefst problematisch sieht es auch nach den Präsidentschaftswahlen vom Juni 2013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Besorgniserregend ist zudem, dass im zweiten Halbjahr von 2013 - und somit nach der Wahl im Juni 2013 - mehr Personen hingerichtet wurden und diese Tendenz auch Anfang 2014 fortgesetzt wurde. Mehrheitlich handelte es sich um Bestrafungen gegen Drogendelikte, jedoch fielen auch politische Gefangene und Angehörige von Minderheiten einer Hinrichtung zum Opfer. Somit hat sich die Einschätzung des Bundesverwaltungsgerichts zur Lage im Iran auch nach den Präsidentschaftswahlen im Juni 2013 nicht geändert und behält nach wie vor ihre Gültigkeit (vgl. BVGE 2009/28 E. 7.3.1; D 7272/2013, a.a.O., E. 7.1 m.w.H.; statt vieler Urteile des Bundesverwaltungsgerichts E 34/2014 vom 7. Januar 2016 E. 6.2.4 und E 7836/2015 vom 4. Januar 2016 E. 4.5). Ferner ist die politische Betätigung für staatsfeindliche Organisationen im Ausland durch die Neufassung des iranischen Strafrechts vom 9. Juli 1996 unter Strafe gestellt worden (§ 498-500 des iranischen Strafgesetzbuches). Die iranischen Behörden überwachen grundsätzlich die politischen Aktivitäten ihrer Staatsangehörigen im Ausland. Gemäss Erkenntnissen des Bundesverwaltungsgerichts riskieren iranische Asylsuchende, welche sich in der Schweiz exilpolitisch exponieren,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denn auch Personen verhaftet, angeklagt und verurteilt, welche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BVGE 2009/28 E. 7.3.1; D 7272/2013 E. 7.2). Allerdings geht das 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Somit ist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D 7272/2013 E. 7.2).</w:t>
      </w:r>
    </w:p>
    <w:p>
      <w:r>
        <w:rPr>
          <w:b/>
        </w:rPr>
        <w:t>E. 5.3</w:t>
      </w:r>
    </w:p>
    <w:p>
      <w:r>
        <w:t>Fraglich ist demnach, ob der Beschwerdeführer über niedrigprofilierte Massenaktivitäten hinaus durch seine Aktivitäten oder konkreten Funktionen in der exilpolitischen Szene die Aufmerksamkeit auf sich gezogen hat. Diese Prüfung hat im Einzelfall aufgrund der konkreten Umstände zu erfolgen. Der Beschwerdeführer ist seit seiner Einreise in die Schweiz im Jahr 2010 exilpolitisch tätig (vgl. namentlich A38/1) und führt sein Engagement bis heute konstant weiter. Seine exilpolitischen Aktivitäten in der Schweiz sind aufgrund der sich bei den Akten befindlichen, zahlreichen Beweismittel ausführlich dokumentiert; auf die Abnahme der weiteren offerierten Beweisunterlagen (DVDs und Fotografien) kann deshalb verzichtet werden. So hat er an zahlreichen Kundgebungen und Hungerstreiks teilgenommen. Auf den eingereichten Bildern von der Teilnahme des Beschwerdeführers an diversen Aktionen ist er klar erkennbar und identifizierbar. Zudem wurde sein Bild auf der Internetseite (...) veröffentlicht und der Beschwerdeführer dort namentlich denunziert. [Angaben zur Denunzianten-Homepage]. Sein Bild wurde mit einem Denunziationsartikel über den Beschwerdeführer versehen, [Inhalt der Denunziationen]. Im Übrigen nahm der Beschwerdeführer an zahlreichen Konferenzen des Hohen Kommissars der Vereinten Nationen für Menschenrechte (UNHCHR) in Genf teil, wo sein Name auf der Teilnehmerliste gestanden sei. Ferner reichte er Bilder ein, auf welchen er mit dem ehemaligen [hoher Militär] zu sehen ist. Seit (...) 2012 ist er sodann auf Twitter unter seinem Namen "(...)" aktiv und veröffentlicht dort regimekritische Beiträge. Schliesslich wurden diverse Protesterklärungen vom Beschwerdeführer im Internet mit seinem Namen unterschrieben. Angesichts der vorliegenden Umstände muss davon ausgegangen werden, dass die iranischen Behörden von den exilpolitischen Aktivitäten des Beschwerdeführers Kenntnis genommen haben. Sein Exponierungsgrad als Person, die unter ihrem Namen und unter namentlicher Nennung auf Bildern, Denunziationsseiten sowie Teilnehmerlisten im Exil oppositionelle Ansichten vertritt, reicht, um die Aufmerksamkeit der iranischen Behörden auf sich zu ziehen. Es ist anzunehmen, dass ihn die heimatlichen Behörden als eine zumindest latente Bedrohung für das politische System wahrnehmen dürften. Eine Überwachung von Internetinhalten via Suchmaschinen ist im Fall der Rückkehr einer exponierten Person in den Iran im Übrigen nicht auszuschliessen. Folglich ist davon auszugehen, dass er bei einer Rückkehr in sein Heimatland befürchten müsste, ernsthafte Nachteile im Sinne von Art. 3 AsylG zu erleiden. Eine flüchtlingsrechtlich relevante begründete Furcht vor Verfolgung liegt somit vor.</w:t>
      </w:r>
    </w:p>
    <w:p>
      <w:r>
        <w:rPr>
          <w:b/>
        </w:rPr>
        <w:t>E. 5.4</w:t>
      </w:r>
    </w:p>
    <w:p>
      <w:r>
        <w:t>Die Ausschlussklausel von Art. 3 Abs. 4 AsylG, welche explizit die Flüchtlingskonvention vorbehält, kommt vorliegend nicht zur Anwendung, nachdem der Beschwerdeführer die Flüchtlingseigenschaft nach Art. 3 Abs. 1 AsylG sowie Art. 1A FK erfüllt.</w:t>
      </w:r>
    </w:p>
    <w:p>
      <w:r>
        <w:rPr>
          <w:b/>
        </w:rPr>
        <w:t>E. 5.5</w:t>
      </w:r>
    </w:p>
    <w:p>
      <w:r>
        <w:t>Dem Beschwerdeführer ist es nach dem Gesagten gelungen, subjektive Nachfluchtgründe glaubhaft zu machen. Er erfüllt somit die Flüchtlingseigenschaft im Sinne von Art. 3 AsylG, ist allerdings gestützt auf Art. 54 AsylG von der Asylgewährung auszuschliessen und als Flüchtling vorläufig aufzunehmen (Art. 83 Abs. 8 AuG [SR 142.20]).</w:t>
      </w:r>
    </w:p>
    <w:p>
      <w:r>
        <w:rPr>
          <w:b/>
        </w:rPr>
        <w:t>E. 6</w:t>
      </w:r>
    </w:p>
    <w:p>
      <w:r>
        <w:t>Die Beschwerde ist nach dem Gesagten gutzuheissen, soweit die Anerkennung der Flüchtlingseigenschaft beantragt wurde. Die Dispositivziffern 1, 4 und 5 der angefochtenen Verfügung des SEM vom 6. Oktober 2014 sind aufzuheben und das Staatssekretariat ist anzuweisen, den Beschwerdeführer als Flüchtling vorläufig aufzunehmen. Soweit die Asylgewährung beantragt wurde, ist die Beschwerde demgegenüber abzuweisen.</w:t>
      </w:r>
    </w:p>
    <w:p>
      <w:r>
        <w:rPr>
          <w:b/>
        </w:rPr>
        <w:t>E. 7.1</w:t>
      </w:r>
    </w:p>
    <w:p>
      <w:r>
        <w:t>Beim vorliegenden Ausgang des Verfahrens ist praxisgemäss von einem Obsiegen des Beschwerdeführers zu zwei Dritteln (betreffend Flüchtlingseigenschaft und Wegweisungsvollzug) und von einem Unterliegen zu einem Drittel (Asyl) auszugehen. Der Beschwerdeführer wäre somit in einem Umfang von einem Drittel kostenpflichtig und im Rahmen von zwei Dritteln für seinen Aufwand im Beschwerdeverfahren zu entschädigen. Vorliegend rechtfertigt es sich, auf die Verfahrenskosten zu verzichten (Art. 63 Abs. 1 letzter Satz VwVG). Dementsprechend sind ihm keine Verfahrenskosten aufzuerlegen.</w:t>
      </w:r>
    </w:p>
    <w:p>
      <w:r>
        <w:rPr>
          <w:b/>
        </w:rPr>
        <w:t>E. 7.2</w:t>
      </w:r>
    </w:p>
    <w:p>
      <w:r>
        <w:t>Dem vertretenen, teilweise obsiegenden Beschwerdeführer ist deshalb eine um ein Drittel reduzierte Entschädigung für die ihm notwendigerweise erwachsenen Parteikosten zuzusprechen (Art. 64 Abs. 1 VwVG sowie Art. 7 Abs. 2 des Reglements vom 21. Februar 2008 über die Kosten und Entschädigungen vor dem Bundesverwaltungsgericht (VGKE, SR 173.320.2). In der Kostennote vom 15. Januar 2016 wird ein zeitlicher Aufwand von ins­gesamt 20.4 Stunden ausgewiesen, der insgesamt - für die Einrei­chung der siebenseitigen Rechtsschrift, einer Replik, vier Eingaben mit weiteren Beweismitteln, eines (grundsätzlich nicht zu entschädigenden) Fristerstreckungsgesuchs und eines Beschleunigungsgesuchs sowie für das Aktenstudium, die Besprechungen und Briefe mit dem Mandanten, Telefongespräche - nicht als vollumfänglich angemessen zu werten ist und vom Gericht auf 15 Stunden zum ausgewiesenen Stundenansatz von Fr. 150.- reduziert wird. Die angemessenen Auslagen sind in der Höhe von Fr. 40.- zu vergüten. Damit ergäbe sich eine Parteientschädigung von insgesamt Fr. 2'290.-. Gestützt auf die in Betracht zu ziehenden Bemessungsfaktoren (vgl. Art. 7 ff. VGKE) sowie die eingereichte Kostennote ist die um einen Drittel reduzierte Parteientschädigung, welche vom SEM zu entrichten ist, somit auf Fr. 1'530.-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