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E-6506/2010 vom 9. Oktober 2012</w:t>
      </w:r>
    </w:p>
    <w:p>
      <w:r>
        <w:t>Bundesverwaltungsgericht, 2012-10-09, DE</w:t>
      </w:r>
    </w:p>
    <w:p>
      <w:r>
        <w:rPr>
          <w:b/>
        </w:rPr>
        <w:t xml:space="preserve">Quelle: </w:t>
      </w:r>
      <w:r>
        <w:t>https://mcp.opencaselaw.ch/entscheid/bvger_E-6506_2010</w:t>
      </w:r>
    </w:p>
    <w:p>
      <w:r>
        <w:t>FR: TAF E-6506/2010 du 9 octobre 2012</w:t>
      </w:r>
    </w:p>
    <w:p>
      <w:r>
        <w:t>IT: TAF E-6506/2010 del 9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EMARK 2006 Nr. 18).</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2.3 S. 826 f.; EMARK 2004 Nr. 1 E. 5 S. 4 ff., mit weiteren Hinweisen).</w:t>
      </w:r>
    </w:p>
    <w:p>
      <w:r>
        <w:rPr>
          <w:b/>
        </w:rPr>
        <w:t>E. 4.1</w:t>
      </w:r>
    </w:p>
    <w:p>
      <w:r>
        <w:t>Vor allfälligen weiteren Erwägungen ist vorab der Frage nachzugehen, ob das BFM - wie in der Beschwerde gerügt wurde - den Anspruch auf rechtliches Gehör verletzt hat, da dieser Anspruch verfahrensrechtlicher Natur ist und seine Verletzung grundsätzlich die Aufhebung des angefochtenen Entscheids nach sich zieht (vgl. BVGE 2008/14 E. 4.1, BVGE 2007/30 E. 8.2). Die Rechtsprechung hat allerdings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w:t>
      </w:r>
    </w:p>
    <w:p>
      <w:r>
        <w:rPr>
          <w:b/>
        </w:rPr>
        <w:t>E. 4.2</w:t>
      </w:r>
    </w:p>
    <w:p>
      <w:r>
        <w:t>Der Anspruch auf rechtliches Gehör ergibt sich aus Art. 29 bis 33 VwVG. Dazu gehört zunächst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BGE 112 Ia 109 E. 2b; Bernhard Waldmann/Jürg Bickel, in: Bernhard Waldmann/Philippe Weissenberger [Hrsg.], Praxiskommentar VwVG, Zürich/Basel/Genf 2009, Art. 30, N. 5 sowie Art. 32, N. 7 ff.).</w:t>
      </w:r>
    </w:p>
    <w:p>
      <w:r>
        <w:rPr>
          <w:b/>
        </w:rPr>
        <w:t>E. 4.3</w:t>
      </w:r>
    </w:p>
    <w:p>
      <w:r>
        <w:t>In der Beschwerdeeingabe wird gerügt, dass in Bezug auf das Schreiben der damaligen Rechtsvertreterin vom 17. Juni 2010 die Ausführungen beziehungsweise Abklärungen des BFM äusserst karg ausgefallen seien und das Bundesamt keinerlei Rücksprache mit dem Beschwerdeführer genommen, keine Rückfragen gestellt sowie ihm auch nicht vernehmlassungsweise die Gelegenheit gegeben habe, sich zur Einschätzung des BFM zu diesen wichtigen neuen Tatsachen zu äussern.</w:t>
      </w:r>
    </w:p>
    <w:p>
      <w:r>
        <w:rPr>
          <w:b/>
        </w:rPr>
        <w:t>E. 4.4</w:t>
      </w:r>
    </w:p>
    <w:p>
      <w:r>
        <w:t>Das Bundesverwaltungsgericht gelangt nach Prüfung der Akten zum Schluss, der angefochtene vorinstanzliche Entscheid werde den aufgeführten Kriterien der Gehörsgewährung gerecht. Das Bundesamt setzt sich in seiner Verfügung vom 13. August 2010 unter E. I Ziff. 2 mit dem eingereichten Beweismaterial auseinander und würdigt es im gesamten Kontext der Vorbringen. Dass die Ausführungen dabei knapp ausgefallen sind, tangiert den Anspruch auf rechtliches Gehör nicht, da das BFM seiner Pflicht zur Berücksichtigung der geltend gemachten Vorbringen sowie seiner Begründungspflicht nachgekommen ist. Festzuhalten ist sodann, dass es sich beim betreffenden Dokument um ein Aktenstück handelt, welches der Beschwerdeführer selber eingereicht hat; demnach war es ihm bekannt respektive bestand die Gelegenheit, sich zum betreffenden Aktenstück im Zeitpunkt der Einreichung zu äussern. Folglich besteht, da das BFM den Anspruch auf rechtliches Gehör nicht verletzt hat, keine Veranlassung, den Entscheid des BFM aufzuheben und die Sache zur Neubeurteilung an das Bundesamt zurückzuweisen.</w:t>
      </w:r>
    </w:p>
    <w:p>
      <w:r>
        <w:rPr>
          <w:b/>
        </w:rPr>
        <w:t>E. 5</w:t>
      </w:r>
    </w:p>
    <w:p>
      <w:r>
        <w:t>Im Nachstehenden ist zu prüfen, ob der geltend gemachte Verfolgungssachverhalt, wie er im Zeitpunkt der Ausreise des Beschwerdeführers vorgelegen habe (Zugehörigkeit zum Minderheitenclan der [Name], Bedrohungen seitens des [Name]-Clans infolge Blutgeldzahlung sowie weitgehende Schutzlosigkeit), vom BFM zu Recht überwiegend bezweifelt wird.</w:t>
      </w:r>
    </w:p>
    <w:p>
      <w:r>
        <w:rPr>
          <w:b/>
        </w:rPr>
        <w:t>E. 5.1</w:t>
      </w:r>
    </w:p>
    <w:p>
      <w:r>
        <w:t>Aufgrund der Aktenlage geht das Bundesverwaltungsgericht - anders als die Vorinstanz - von der Richtigkeit der biographischen Angaben des Beschwerdeführers aus, wonach er somalischer Staatsangehöriger sei, aus B._______ stamme und dem [Name]-Clan angehöre. Selbst wenn er eigenen Aussagen zufolge erst in der Schweiz weitere Subclans des [Name]-Clans kennengelernt hat (A 11/16 S. 8), sind seine Ausführungen zur Clanzugehörigkeit und Struktur des Clans sowie zum Herkunftsort und der umliegenden Gegend - entgegen der Auffassung des BFM - weder vage ausgefallen noch mangelt es ihnen an Substanz (A 11/16 S. 5, 7 f.). Des Weiteren hält das Gericht die Ausführungen des Beschwerdeführers rund um die Ermordung seines [Verwandter] im Jahr 2000 nicht zuletzt aufgrund der Realkennzeichen in seiner Schilderung für glaubhaft; beispielsweise erklärte der Beschwerdeführer, als damals (...)-jähriger [Gegenstände] nach dem Täter geworfen, ihn jedoch nicht getroffen zu haben (A 11/16 S. 9). Hingegen gelangt das Bundesverwaltungsgericht in Übereinstimmung mit der Vorinstanz zum Schluss, dass sich seine Darstellungen betreffend die Fluchtgründe im Jahr 2008 in unplausiblen Schilderungen erschöpfen und in wesentlichen Punkten zu wenig begründet oder in sich widersprüchlich sind. Ob eine Blutgeldzahlung im Jahr 2005 tatsächlich erfolgt ist, kann vorliegend letztlich offen gelassen werden, da selbst gemäss dem Fall, der aus dem Ausland zurückgekehrte [Verwandter] des Mörders habe dem Beschwerdeführer 10'000 US-Dollar zur finanziellen Abgeltung der Tötung [seines Verwandten] gezahlt, aus den Akten nicht ersichtlich wird, weshalb die Flucht des Beschwerdeführers erst im Jahr 2008 erfolgt ist. Seinen protokollierten Aussagen lässt sich zwar entnehmen, dass er seitens des [Name]-Clans aus Missgunst mehrmals behelligt worden sei (A 11/16 S. 9 f.), inwiefern die Behelligungen im Jahr 2008 im Vergleich zu den übrigen Jahren zugenommen hätten und es dem Beschwerdeführer nicht mehr zuzumuten war, in Somalia zu verbleiben, ist infolge der vorwiegend pauschal ausgefallenen Aussagen (A 11/16 S. 11) nicht nachvollziehbar. Die lediglich vagen Angaben, seine Probleme seien immer grösser geworden respektive im Jahr 2008 eskaliert (A 11/16 S. 10 f.), vermögen nicht zu überzeugen beziehungsweise die genauen Hintergründe zur Wahl seines Ausreisezeitpunkts anschaulich darzulegen. Weiter vermochte der Beschwerdeführer nicht stichhaltig auszuführen, weswegen die Messerattacke im August 2008 (A 11/16 S. 11) - anders als die übrigen in der Anhörung geltend gemachten Angriffe - das auslösende Ereignis für seine Flucht darstellte. Wie das BFM zudem zutreffend festhielt, sind seine Angaben bezüglich der geltend gemachten Angriffe widersprüchlich ausgefallen: Gab er in der EVZ-Befragung noch explizit an, nur bedroht und nie angegriffen, misshandelt oder verletzt worden zu sein (A1/11 S. 6), führte er - wie bereits erwähnt - anlässlich der Anhörung aus, mehrfach attackiert und im August 2008 gar mit einem Messer verletzt worden zu sein (A11/16 S. 9, 11). Die Ausführungen in der Beschwerdeeingabe zur Aufklärung dieses Widerspruchs vermögen hingegen nicht zu überzeugen, zumal der Beschwerdeführer insbesondere die Messerattacke im August 2008 als zentrales Ereignis für seine Ausreise angab (A11/16 S. 11) und es von ihm zu erwarten gewesen wäre, diesen zentralen Punkt bereits in der EVZ-Befragung zumindest ansatzweise zu erwähnen. Sodann erscheint es abwegig, dass er für die Organisation seiner Ausreise drei Jahre benötigt habe (A 11/16 S. 11). Im Übrigen ist zwar nicht auszuschliessen, dass es rund um [Unternhmen] zu Schwierigkeiten mit [Personen] gekommen ist, diese Probleme sind im asylrechtlichen Kontext jedoch unerheblich. Schliesslich wird zwar der geltend gemachte Sachverhalt bezüglich die Ermordung des [des Verwandten] und [des Kindes] des Beschwerdeführers im (...) 2010 vom BFM als glaubhaft erachtet und ist im Hinblick auf die Prüfung der Flüchtlingseigenschaft auch für das Bundesverwaltungsgericht massgeblich, zumal keine zureichenden Anhaltspunkte für überwiegende Zweifel bestehen und diese Sachverhaltsgrundlage ebenso im länderspezifischen Kontext realistisch erscheint; es ist allerdings nicht nachvollziehbar, dass - gemäss dem Fall, die Blutgeldzahlung im Jahr 2005 sei tatsächlich erfolgt - [der Verwandte] sowie [das Kind] erst viele Jahre später gezieltes Objekt brutalster Aggressionen der verfeindeten Clanfamilie geworden sein sollen. Aus der E-Mail der Ehefrau vom (...) 2010 geht ebenfalls nicht hervor, dass die Ereignisse vom (...) 2010 im Zusammenhang mit der Clanfehde stehen. Insofern wird ein Zusammenhang zum Beschwerdeführer, der auf einer gezielten und flüchtlingsrechtlich relevanten Verfolgungsmotivation beruhen würde, nicht aufgezeigt.</w:t>
      </w:r>
    </w:p>
    <w:p>
      <w:r>
        <w:rPr>
          <w:b/>
        </w:rPr>
        <w:t>E. 5.2</w:t>
      </w:r>
    </w:p>
    <w:p>
      <w:r>
        <w:t>Vor dem Hintergrund obiger Erwägungen vermögen auch die übrigen Ausführungen in der Rechtsmitteleingabe nicht zu überzeugen. Zwischen der vorgebrachten Verfolgungssituation und der Ausreise des Beschwerdeführers im Jahr 2008 besteht in sachlicher und zeitlicher Hinsicht kein Kausalzusammenhang. Mithin führen die geltend gemachten Vorbringen als solche nicht zur Annahme einer begründeten Furcht vor Verfolgung im Sinne von Art. 3 AsylG im Zeitpunkt seiner Ausreise, und auch für den heutigen Zeitpunkt des Entscheids ist eine begründete Furcht nicht zu bejahen. Das BFM hat demnach das Asylgesuch des Beschwerdeführers zu Recht abgewiesen. Die vorinstanzliche Verfügung ist diesbezüglich zu bestätigen.</w:t>
      </w:r>
    </w:p>
    <w:p>
      <w:r>
        <w:rPr>
          <w:b/>
        </w:rPr>
        <w:t>E. 6</w:t>
      </w:r>
    </w:p>
    <w:p>
      <w:r>
        <w:t>Die Ehefrau des Beschwerdeführers ist im (...) 2012, gestützt auf die Einreisebewilligung des BFM vom 4. November 2011 zwecks Durchführung eines ordentlichen Asylverfahrens, in die Schweiz eingereist. Ihr Asylverfahren ist derzeit erstinstanzlich hängig (ebenfalls N [...]) und wird nunmehr durch das BFM fortzusetzen sein.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8</w:t>
      </w:r>
    </w:p>
    <w:p>
      <w:r>
        <w:t>Eine Erörterung von Wegweisungsvollzugshindernissen - namentlich unter Berücksichtigung des eingereichten Arztberichtes - kann unterbleiben, nachdem das BFM die vorläufige Aufnahme des Beschwerdeführers wegen Unzumutbarkeit des Wegweisungsvollzuges angeordnet hat.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Nachdem das vom Beschwerdeführer in seiner Rechtsmitteleingabe vom 13. September 2010 gestellte Gesuch um Gewährung der unentgeltlichen Rechtspflege mit Verfügung des Bundesverwaltungsgerichtes vom 28. September 2010 auf einen späteren Zeitpunkt verwiesen wurde, ist im Urteilszeitpunkt darüber zu befinden. Die Beschwerdebegehren sind im Zeitpunkt ihrer Einreichung als nicht aussichtslos zu qualifizieren. Aufgrund der Aktenlage muss der Beschwerdeführer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