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E-6502/2016 vom 22. Februar 2017</w:t>
      </w:r>
    </w:p>
    <w:p>
      <w:r>
        <w:t>Bundesverwaltungsgericht, 2017-02-22, DE</w:t>
      </w:r>
    </w:p>
    <w:p>
      <w:r>
        <w:rPr>
          <w:b/>
        </w:rPr>
        <w:t xml:space="preserve">Quelle: </w:t>
      </w:r>
      <w:r>
        <w:t>https://mcp.opencaselaw.ch/entscheid/bvger_E-6502_2016</w:t>
      </w:r>
    </w:p>
    <w:p>
      <w:r>
        <w:t>FR: TAF E-6502/2016 du 22 février 2017</w:t>
      </w:r>
    </w:p>
    <w:p>
      <w:r>
        <w:t>IT: TAF E-6502/2016 del 22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richtet sich ausschliesslich gegen die Dispositivziffern 1 bis 3 der angefochtenen Verfügung. 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4.1</w:t>
      </w:r>
    </w:p>
    <w:p>
      <w:r>
        <w:t>Der Beschwerdeführer macht im Wesentlichen geltend, er fürchte sich vor dem Militärdienst. Nachdem er von der Schule verwiesen worden sei - wonach er sich neun Monate versteckt habe - sei er illegal aus Eritrea ausgereist.</w:t>
      </w:r>
    </w:p>
    <w:p>
      <w:r>
        <w:rPr>
          <w:b/>
        </w:rPr>
        <w:t>E. 4.2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(zur Publikation als Referenzurteil vorgesehen)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 ob minderjährig oder nicht -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4.3</w:t>
      </w:r>
    </w:p>
    <w:p>
      <w:r>
        <w:t>Was die Vorfluchtgründe anbelangt, so halten diese - wie bereits von der Vorinstanz zutreffend festgestellt - nicht den Anforderungen an Art. 3 AsylG stand. So vermögen weder fehlende Bildung noch die reine Befürchtung, eines Tages Militärdienst leisten zu müssen, Asylrelevanz zu entfalten. Die Vorbringen werden den Anforderungen nicht gerecht, die an das Vorliegen eines zusätzlichen Anknüpfungspunkts gestellt werden. Die Beschwerde stellt der vorinstanzlichen Schlussfolgerung zu den Vorfluchtgründen sodann auch nichts Stichhaltiges entgegen. Nachdem der Beschwerdeführer neben der illegalen Ausreise keine zusätzlichen Anknüpfungspunkte für eine Verschärfung seines Profils zu belegen oder mindestens glaubhaft zu machen vermag, lässt sich keine asylrechtlich beachtliche Verfolgung annehmen. Aufgrund der Bestätigung der Praxisänderung der Vorinstanz im oben genannten Urteil, ist auf die Beschwerdeausführungen zur Rechtsprechung (insb. BVGE 2010/54) sowie zu Berichten betreffend die illegale Ausreise nicht weiter einzugehen. Aus demselben Grund sind die entsprechenden Rügen unbegründet. Nach dem Gesagten vermögen die weiteren Beschwerdeausführungen am Beweisergebnis ebenfalls nichts zu ändern. Indem die Vorinstanz eine vorläufige Aufnahme anordnete, hat sie den Umständen des Einzelfalls ausreichend Rechnung getragen. Um Wiederholungen zu vermeiden, ist auf das erwähnte Koordinationsurteil des Bundesverwaltungsgerichts sowie die zutreffenden Erwägungen der Vorinstanz zu verweisen, die zu Recht die Flüchtlingseigenschaft verneint und das Asylgesuch des Beschwerdeführers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Es sind keine Verfahrenskosten zu erheben. Die Gesuche um Gewährung der unentgeltlichen Prozessführung und Verzicht der Erhebung eines Kostenvorschusses wurden bereits mit Zwischenverfügung vom 25. Oktober 2016 gemäss Art. 65 Abs. 1 VwVG gutgeheissen.</w:t>
      </w:r>
    </w:p>
    <w:p>
      <w:r>
        <w:rPr>
          <w:b/>
        </w:rPr>
        <w:t>E. 7.2</w:t>
      </w:r>
    </w:p>
    <w:p>
      <w:r>
        <w:t>Der vom Gericht am 25. Oktober 2016 bestellten Rechtsbeiständin ist eine Entschädigung zu Lasten des Gerichts auszurichten (Art. 65 Abs. 5 VwVG und Art. 12 i.V.m. Art. 8 ff. des Reglements vom 21. Februar 2008 über die Kosten und Entschädigungen vor dem Bundesverwaltungsgericht [VGKE, SR 173.320.2]). Aufwand und Kosten wurden in der Beschwerde ausgewiesen. Diese sind nicht zu beanstanden. Das amtliche Honorar ist somit auf Fr. 831.60 (inkl. Auslagen und Mehrwertsteuer) zu beziffern.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