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E-6500/2018 vom 14. Oktober 2020</w:t>
      </w:r>
    </w:p>
    <w:p>
      <w:r>
        <w:t>Bundesverwaltungsgericht, 2020-10-14, FR</w:t>
      </w:r>
    </w:p>
    <w:p>
      <w:r>
        <w:rPr>
          <w:b/>
        </w:rPr>
        <w:t xml:space="preserve">Quelle: </w:t>
      </w:r>
      <w:r>
        <w:t>https://mcp.opencaselaw.ch/entscheid/bvger_E-6500_2018</w:t>
      </w:r>
    </w:p>
    <w:p>
      <w:r>
        <w:t>FR: TAF E-6500/2018 du 14 octobre 2020</w:t>
      </w:r>
    </w:p>
    <w:p>
      <w:r>
        <w:t>IT: TAF E-6500/2018 del 14 ottobre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 recourant a qualité pour recourir. Présenté dans la forme et dans les délais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et JICRA 1997 no 10 consid. 6 ainsi que les références de jurisprudence et de doctrine citées).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w:t>
      </w:r>
    </w:p>
    <w:p>
      <w:r>
        <w:rPr>
          <w:b/>
        </w:rPr>
        <w:t>E. 3.1</w:t>
      </w:r>
    </w:p>
    <w:p>
      <w:r>
        <w:t>Dans sa décision, l'autorité de première instance a considéré que les motifs de l'intéressé n'étaient pas pertinents, ce dernier ayant fui une situation de violence généralisée ; en outre, il avait sans doute été enlevé pour des motifs crapuleux et ne courait plus de risque actuel, l'association pour laquelle il agissait ayant cessé ses activités. L'existence d'une menace future ne pouvait ainsi être retenue. Enfin, il avait également quitté l'Afghanistan en raison d'un conflit familial, ce qui ne constituait pas un motif d'asile pertinent. De son côté, l'intéressé a fait valoir à l'appui de son recours une interdépendance logique et temporelle entre la persécution subie et sa fuite, ainsi que l'existence d'une menace toujours actuelle.</w:t>
      </w:r>
    </w:p>
    <w:p>
      <w:r>
        <w:rPr>
          <w:b/>
        </w:rPr>
        <w:t>E. 3.2</w:t>
      </w:r>
    </w:p>
    <w:p>
      <w:r>
        <w:t>Le Tribunal doit relever que l'existence d'une persécution basée sur des motifs politiques n'apparaît pas hautement probable. En effet, la forte probabilité que les menaces adressées au recourant, ainsi que son rapt, aient été inspirés par un souci d'enrichissement des ravisseurs ne peut être écartée ; en témoigne le fait que l'intéressé aurait été relâché après quelques jours, à la suite du versement d'une rançon, et sans avoir subi de sévices. Avant le rapt, il aurait cependant été menacé de mort s'il continuait à travailler pour l'association E._______ ; le fait que ses ravisseurs n'aient pas mis ces menaces à exécution tend à indiquer que tel n'était pas leur dessein. Le requérant considère d'ailleurs lui-même comme plausible qu'il ait été enlevé par hasard, sa capture étant plus facile que celle des autres travailleurs employés par E._______ (cf. procès-verbal [p-v] de l'audition du 23 mars 2018, question 73).</w:t>
      </w:r>
    </w:p>
    <w:p>
      <w:r>
        <w:rPr>
          <w:b/>
        </w:rPr>
        <w:t>E. 3.3</w:t>
      </w:r>
    </w:p>
    <w:p>
      <w:r>
        <w:t>A admettre toutefois que l'enlèvement soit survenu en raison de l'engagement de l'intéressé pour cette association, rien ne permet de retenir que les Talibans en aient été responsables ; le recourant admet n'en avoir aucune preuve et donne ce nom à ses ravisseurs de manière générique, sans savoir à quel groupe ils appartenaient en fait (cf. p-v de l'audition du 23 mars 2018, question 57). Eux-mêmes n'auraient jamais prétendu appartenir à ce mouvement. En outre, une telle manière de procéder ne correspond pas à celle des Talibans ; ces derniers et d'autres groupes islamistes, tels que Daesh, ont continué à commettre des attentats à la bombe dans la ville de Kaboul en 2018 et 2019, qui étaient dirigés contre des institutions de l'Etat (armée, siège de ministères), des bases militaires étrangères et les rassemblements de groupes qu'ils considèrent comme hostiles à leur cause (cf. Organisation suisse d'aide aux réfugiés [OSAR], Afghanistan : les conditions de sécurité actuelle, septembre 2019). En revanche, il n'entre pas à leurs méthodes de se livrer à de simples manoeuvres d'intimidation envers des particuliers, ce qui tend à indiquer que les hommes ayant menacé l'intéressé étaient des tiers isolés, agissant sans ordre d'un mouvement organisé.</w:t>
      </w:r>
    </w:p>
    <w:p>
      <w:r>
        <w:rPr>
          <w:b/>
        </w:rPr>
        <w:t>E. 3.4</w:t>
      </w:r>
    </w:p>
    <w:p>
      <w:r>
        <w:t>Il apparaît par ailleurs que le recourant aurait pu se mettre à l'abri des risques pesant sur lui en cessant son emploi pour E._______ et F._______, ce qu'il aurait d'ailleurs fini par faire. Il n'a pas même tenté de demander la protection des autorités afghanes, qui n'avaient cependant aucun grief contre lui, ainsi qu'il l'a reconnu (cf. p-v de l'audition du 1er juin 2016, pt 7.02). Rien ne permet d'admettre que cette protection lui aurait été refusée. Or, compte tenu du principe de la subsidiarité de la protection internationale, ne peut prétendre au statut de réfugié celui qui peut trouver, dans son pays d'origine, une protection adéquate contre une persécution non étatique. La protection nationale sera considérée comme adéquate lorsque la personne concernée bénéficie sur place d'un accès concret à des structures efficaces de protection et qu'il peut être raisonnablement exigé d'elle qu'elle fasse appel à ce système de protection interne (cf. notamment ATAF 2011/51 consid. 7.1 à 7.4 ; 2008/12 consid. 5.3 ; 2008/5 consid. 4.1 ; 2008/4 consid. 5.2). Il apparaît dès lors que les conditions d'une reconnaissance du statut de réfugié et de l'octroi de l'asile ne sont pas remplies.</w:t>
      </w:r>
    </w:p>
    <w:p>
      <w:r>
        <w:rPr>
          <w:b/>
        </w:rPr>
        <w:t>E. 3.5</w:t>
      </w:r>
    </w:p>
    <w:p>
      <w:r>
        <w:t>En outre, le fait que l'intéressé ait été menacé et agressé par des parents éloignés ou d'autres tiers, à la suite de la jalousie qu'ils ressentaient à son égard, n'est pas pertinent en matière d'asile, ces atteintes ne répondant à aucun des motifs précisés à l'art. 3 LAsi. La pertinence des motifs d'asile invoqués ne peut ainsi être retenue.</w:t>
      </w:r>
    </w:p>
    <w:p>
      <w:r>
        <w:rPr>
          <w:b/>
        </w:rPr>
        <w:t>E. 3.6</w:t>
      </w:r>
    </w:p>
    <w:p>
      <w:r>
        <w:t>Au surplus, le Tribunal doit constater que le recourant n'a pas dépeint de manière exacte les conditions de son départ et de son voyage jusqu'en Suisse, ainsi que la chronologie de ce dernier. En effet, il a prétendu avoir quitté Kaboul le 18 janvier 2016 et avoir voyagé durant plusieurs mois, avant de devoir admettre qu'il avait été transféré d'Autriche en Grèce en février 2016 déjà. Dans ces conditions, il ne peut être exclu que l'intéressé ait quitté légalement l'Afghanistan, muni de son passeport qu'il venait d'obtenir régulièrement peu auparavant, et sans fuir un danger pressant ; en effet, le Tribunal ne discerne pas pour quelle raison il n'aurait pas fait usage de ce document de voyage et préféré se déplacer clandestinement, avec tous les risques et les frais que cela supposait.</w:t>
      </w:r>
    </w:p>
    <w:p>
      <w:r>
        <w:rPr>
          <w:b/>
        </w:rPr>
        <w:t>E. 3.7</w:t>
      </w:r>
    </w:p>
    <w:p>
      <w:r>
        <w:t>Dès lors, l'intéressé n'a pas été en mesure de faire apparaître le bien-fondé et le sérieux de ses motifs d'asile. 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Tribunal constate, comme déjà relevé, qu'il n'existe pas une haute probabilité que l'intéressé soit exposé à un risque de cette nature ; en effet, il a maintenant cessé toute activité au service d'une association non gouvernementale étrangère, ce qui le met à l'abri de la vindicte de groupes hostiles à ces organisations. Rien ne l'empêche par ailleurs de demander, et d'obtenir, la protection des autorités afghanes contre un danger analogue. Il en va de même des agressions provenant de parents éloignés, lesquelles remontent d'ailleurs maintenant à plusieurs années. Dès lors, l'exécution de son renvoi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Le Tribunal s'est penché, à plusieurs reprises, sur la situation en Afghanistan ; il a considéré, dans trois arrêts de principe, qu'à l'exception des grandes villes, la situation humanitaire et sécuritaire y était si mauvaise qu'il convenait, indépendamment des circonstances du cas d'espèce, de présumer, à l'égard de tous les ressortissants afghans, l'existence d'une mise en danger concrète au sens de l'art. 83 al. 4 LEI. L'exécution du renvoi vers Kaboul, Mazar-i-Sharif et Herat n'était raisonnablement exigible qu'en présence de circonstances favorables (cf. ATAF 2011/7 ; 2011/38 ; 2011/49). S'agissant de Kaboul, le Tribunal a retenu, dans son arrêt de référence D-5800/2016 du 13 octobre 2017, que la situation s'y était notoirement détériorée sur les plans sécuritaire et humanitaire depuis sa dernière analyse et que l'exécution du renvoi vers la capitale n'était raisonnablement exigible qu'en présence de circonstances particulièrement favorables. Seul pouvait y être renvoyé un homme célibataire, en bonne santé, bénéficiant d'un solide réseau social et familial pouvant lui assurer un soutien adéquat, et se trouvant en mesure de disposer d'un logement (cf. arrêts E-3695/2019 du 20 mars 2020 consid. 7.3 à 7.5 ; E-7001/2017 du 18 avril 2018 consid. 4.3.3 ; E-5070/2017 du 23 février 2018).</w:t>
      </w:r>
    </w:p>
    <w:p>
      <w:r>
        <w:rPr>
          <w:b/>
        </w:rPr>
        <w:t>E. 7.3</w:t>
      </w:r>
    </w:p>
    <w:p>
      <w:r>
        <w:t>En l'espèce, le recourant, sans charge de famille, n'a allégué aucun problème de santé. Il a accompli une scolarité complète, jusqu'au baccalauréat (cf. p-v de l'audition du 1er juin 2016, pt 1.17.04), acquérant des notions d'informatique ; il a poursuivi sa formation en Suisse, y parvenant à une bonne maîtrise du français, puis entamant des études en faculté des sciences sociales et politiques. A cela s'ajoute que l'intéressé, polyglotte, maîtrise le pashtou, le dari, l'anglais, ainsi que l'italien. Il a en outre exercé les métiers d'assistant administratif et de professeur de sport en Afghanistan. Ses chances de retrouver un emploi à son retour sont réelles, ce d'autant plus qu'il pourra compter sur l'aide de son père, le cas échéant. Il sied de préciser que, contrairement à ce qui est soutenu dans le recours, la jurisprudence précitée n'exige pas d'être en présence d'un employé qualifié candidat à une fonction hautement rémunérée. Les parents du recourant, ses trois frères et sa soeur vivaient dans une maison présentant les commodités suffisantes et dont la famille est propriétaire. Son père, commerçant, assurait à l'ensemble de la famille un bon niveau de vie. A ce propos, le Tribunal relève que l'intéressé a déclaré que l'argent qu'il gagnait lui servait, pour une partie, d'argent de poche et qu'il réinvestissait le reste dans l'association et dans la salle de sport où il travaillait. Ses revenus n'étaient donc pas indispensables à l'entretien du foyer (cf. p-v de l'audition du 23 mars 2018, questions 34 à 38). Le recourant apparaît ainsi disposer d'un réseau familial en mesure de la soutenir de manière adéquate. A défaut d'indications contraires de l'intéressé, lequel avait des contacts réguliers avec ses proches (cf. p-v de l'audition du 23 mars 2018, question 48), il y a lieu de retenir que les circonstances présentées restent inchangées.</w:t>
      </w:r>
    </w:p>
    <w:p>
      <w:r>
        <w:rPr>
          <w:b/>
        </w:rPr>
        <w:t>E. 7.4</w:t>
      </w:r>
    </w:p>
    <w:p>
      <w:r>
        <w:t>Dans ces conditions, et en raison de l'existence de circonstances particulièrement favorables permettant une réinstallation du recourant à Kaboul, l'exécution du renvoi doit être considérée en l'occurrence comme raisonnablement exigible.</w:t>
      </w:r>
    </w:p>
    <w:p>
      <w:r>
        <w:rPr>
          <w:b/>
        </w:rPr>
        <w:t>E. 8</w:t>
      </w:r>
    </w:p>
    <w:p>
      <w:r>
        <w:t>Par ailleurs, le recourant est en mesure d'entreprendre toute démarche nécessaire auprès de la représentation de son pays d'origine en vue de l'obtention de documents de voyage lui permettant de quitter la Suisse ; il apparaît en effet être titulaire d'un passeport valable, dont il a produit la copie. L'exécution du renvoi ne se heurte donc pas à des obstacles insurmontables d'ordre technique et s'avère également possible (cf. ATAF 2008/34 consid. 12).</w:t>
      </w:r>
    </w:p>
    <w:p>
      <w:r>
        <w:rPr>
          <w:b/>
        </w:rPr>
        <w:t>E. 9</w:t>
      </w:r>
    </w:p>
    <w:p>
      <w:r>
        <w:t>Enfin, le contexte actuel lié à la propagation dans le monde de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 (cf. notamment à ce sujet les arrêts E-6856/2017 du 6 avril 2020 consid. 9, D-5461/2019 du 26 mars 2020 p. 7 et D-1282/2020 du 25 mars 2020 consid. 5.5).</w:t>
      </w:r>
    </w:p>
    <w:p>
      <w:r>
        <w:rPr>
          <w:b/>
        </w:rPr>
        <w:t>E. 10</w:t>
      </w:r>
    </w:p>
    <w:p>
      <w:r>
        <w:t>Dès lors, la décision attaquée ne viole pas le droit fédéral, a établi de manière exacte et complète l'état de fait pertinent (art. 106 al. 1 LAsi) et, dans la mesure où ce grief peut être examiné (art. 49 let. c PA ; cf. ATAF 2014/26 consid. 5), n'est pas inopportune. En conséquence, le recours est rejeté.</w:t>
      </w:r>
    </w:p>
    <w:p>
      <w:r>
        <w:rPr>
          <w:b/>
        </w:rPr>
        <w:t>E. 11.1</w:t>
      </w:r>
    </w:p>
    <w:p>
      <w:r>
        <w:t>L'assistance judiciaire totale ayant été accordée, il n'y a pas lieu de percevoir de frais (art. 65 al. 1 PA).</w:t>
      </w:r>
    </w:p>
    <w:p>
      <w:r>
        <w:rPr>
          <w:b/>
        </w:rPr>
        <w:t>E. 11.2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11.3</w:t>
      </w:r>
    </w:p>
    <w:p>
      <w:r>
        <w:t>Dans le cas d'espèce, le Tribunal estime le temps de travail nécessité par la procédure de recours (rédaction d'un acte de recours) à quatre heures. L'indemnité est ainsi arrêtée à 600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