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E-6485/2014 vom 8. Dezember 2017</w:t>
      </w:r>
    </w:p>
    <w:p>
      <w:r>
        <w:t>Bundesverwaltungsgericht, 2017-12-08, FR</w:t>
      </w:r>
    </w:p>
    <w:p>
      <w:r>
        <w:rPr>
          <w:b/>
        </w:rPr>
        <w:t xml:space="preserve">Quelle: </w:t>
      </w:r>
      <w:r>
        <w:t>https://mcp.opencaselaw.ch/entscheid/bvger_E-6485_2014</w:t>
      </w:r>
    </w:p>
    <w:p>
      <w:r>
        <w:t>FR: TAF E-6485/2014 du 8 décembre 2017</w:t>
      </w:r>
    </w:p>
    <w:p>
      <w:r>
        <w:t>IT: TAF E-6485/2014 del 8 dicembre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été en mesure de faire apparaître la vraisemblance et la pertinence de leurs motifs.</w:t>
      </w:r>
    </w:p>
    <w:p>
      <w:r>
        <w:rPr>
          <w:b/>
        </w:rPr>
        <w:t>E. 3.2</w:t>
      </w:r>
    </w:p>
    <w:p>
      <w:r>
        <w:t>Le Tribunal n'accorde pas une portée décisive aux contradictions et imprécisions de détail qui affectent les dires des intéressés, ce d'autant moins que leurs auditions ont eu lieu à presque cinq ans d'intervalle. Il en va de même des références chronologiques peu claires ressortant du récit, et de la difficulté de retracer exactement l'ordre des événements décrits ; en effet, il ne faut pas perdre de vue que les recourants, auditionnés par le SEM, devaient relater des faits vieux de plusieurs années. Le contexte du récit indique d'ailleurs que ces faits se sont déroulés durant (...), les références à (...) faites par les intéressés résultant manifestement d'une erreur. De même, le Tribunal ne rejette pas l'argumentation des intéressés quant au caractère sommaire de la première audition (laquelle devait, à l'origine, préluder à un transfert en Pologne) et à l'hésitation qu'ils auraient alors ressentie à faire état, dans tous les détails, des causes de leur départ ; leur état psychique perturbé tend d'ailleurs à corroborer cette thèse. Dès lors, le manque de clarté et de précision du récit fait par les recourants ne suffit pas, en soi, à en exclure la vraisemblance.</w:t>
      </w:r>
    </w:p>
    <w:p>
      <w:r>
        <w:rPr>
          <w:b/>
        </w:rPr>
        <w:t>E. 3.3</w:t>
      </w:r>
    </w:p>
    <w:p>
      <w:r>
        <w:t>En revanche, le Tribunal doit constater que A._______ et B._______ ont d'abord, au CEP, mis en rapport leurs ennuis avec l'activité politique de l'époux pour le Parti travailliste, avant de leur attribuer, lors de l'audition par le SEM, une toute autre origine. Au CEP, l'intéressé a en effet déclaré avoir été harcelé en raison de son engagement pour ce parti, ce qui était d'ailleurs peu crédible. Si ce mouvement a connu un certain succès dans les années 1995-2003, particulièrement à Tbilissi, son influence a ensuite beaucoup diminué ; ses candidats, aux élections parlementaires et présidentielles, ont réalisé des scores peu importants, passant de 6-7% en 2008 à 2-3% aux élections législatives de 2016. Lors de la présidence de Saakashvili, à qui le parti s'opposait, ses responsables ont en effet été harcelés, au moyen de procédures judiciaires abusives, et certains de ses militants ont perdu leur emploi ; ces mesures n'ont cependant guère franchi le seuil de gravité permettant de les qualifier de persécutions. Entendu par le SEM, cependant, le recourant a expliqué que son engagement politique ne lui avait pas valu d'ennuis graves, sinon de se voir malmener par la police lors de la dispersion de meetings du mouvement. En revanche, le harcèlement téléphonique visant les époux, les menaces dirigées contre eux et les deux agressions ayant touché le recourant seraient le fait d'une organisation inconnue, sur laquelle ils n'ont pu donner aucun renseignement clair ; il est toutefois peu convaincant qu'ils n'aient, aujourd'hui encore, aucune idée des buts visés par leurs interlocuteurs et de leurs raisons d'agir. Cette modification dans la présentation de faits essentiels, puisqu'il s'agit des motifs même de la demande, sont donc de nature à jeter un doute sérieux sur la valeur de celle-ci. Le fait que la recourante ait déposé un certificat de travail extrêmement élogieux, alors qu'elle dit avoir quitté son emploi dans un contexte de suspicion à son égard, plaide dans le même sens.</w:t>
      </w:r>
    </w:p>
    <w:p>
      <w:r>
        <w:rPr>
          <w:b/>
        </w:rPr>
        <w:t>E. 3.4</w:t>
      </w:r>
    </w:p>
    <w:p>
      <w:r>
        <w:t>A cela s'ajoute que l'objectif visé par le groupe qui s'en serait pris aux recourants reste indéterminé : il est impossible de savoir si ces personnages, voulant accéder à des renseignements confidentiels, poursuivaient un objectif de nature politique, financier ou de pur droit commun ; les dires des intéressés n'apportent sur ce point aucune lumière. Dans ces conditions, aucun élément ne permet de retenir que les agressions et menaces alléguées par les époux aient trouvé leur cause dans un des motifs spécifiés à l'art. 3 LAsi ; dans ces conditions, les intéressés ne peuvent soutenir avoir été la cible d'une persécution. Le fait que l'origine partiellement ossète de l'époux ait été utilisée pour faire pression sur sa femme n'est pas vraisemblable ; en effet, ses employeurs ne pouvaient guère méconnaître leur relation et ignorer l'origine du mari. De manière plus générale, le Tribunal doit relever que les événements décrits, à supposer qu'ils soient avérés, apparaissent d'une nature trop floue et indéfinie pour qu'il puisse en être déduit un risque concret : une organisation regroupant des inconnus, aux buts impossibles à déterminer, aurait menacé et harcelé les recourants durant quelques mois, afin d'obtenir l'accès à des informations confidentielles non spécifiées. Faute de données plus concrètes, le Tribunal ne peut d'aucune façon accorder à cette situation une portée tangible en matière d'asile. En tout état de cause, au vu de l'ancienneté de ces événements, maintenant vieux de (...) ans, et des changements politiques d'ampleur intervenus depuis lors en Géorgie, il n'est pas vraisemblable, au sens de l'art. 7 LAsi, qu'un quelconque danger pour les recourants subsiste à la date du présent arrêt.</w:t>
      </w:r>
    </w:p>
    <w:p>
      <w:r>
        <w:rPr>
          <w:b/>
        </w:rPr>
        <w:t>E. 3.5</w:t>
      </w:r>
    </w:p>
    <w:p>
      <w:r>
        <w:t>Il s'ensuit que le recours, en tant qu'il conteste le refus de la reconnaissance de la qualité de réfugié et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voire de la licéité,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6.3</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S'agissant de l'état de santé des recourants,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6.5</w:t>
      </w:r>
    </w:p>
    <w:p>
      <w:r>
        <w:t>Dans le cas d'espèce, les deux époux sont touchés par des troubles anxio-dépressifs persistants, qui requièrent, selon les thérapeutes, le maintien d'un environnement stable et sécurisant ; ils font l'objet d'un traitement par médicaments et soutien psychothérapeutique, qui est toujours en cours. L'épouse est outre atteinte de diverses pathologies physiques (diabète, surpoids, hernie discale). Le Tribunal ne sous-estime pas le sérieux des troubles qui touchent les intéressés, et la nécessité des soins qui leur sont prodigués, non plus que les risques d'aggravation du stress que suppose un retour dans leur pays d'origine. Toutefois, c'est en fonction de la possibilité d'être pris en charge, dans des conditions adéquates et suffisantes après un retour en Géorgie, qu'il y a lieu d'apprécier le caractère raisonnablement exigible d'une exécution du renvoi.</w:t>
      </w:r>
    </w:p>
    <w:p>
      <w:r>
        <w:rPr>
          <w:b/>
        </w:rPr>
        <w:t>E. 6.6</w:t>
      </w:r>
    </w:p>
    <w:p>
      <w:r>
        <w:t>A ce sujet, dans un arrêt assez récent, auquel il y a lieu de se référer (arrêt D-2325/2015 du 20 avril 2016, consid. 6.3-6.5 et les références citées), le Tribunal a eu l'occasion de se pencher longuement sur le système de santé publique en Géorgie.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Toujours selon le même arrêt, le traitement et le suivi des maladies mentales sont gratuits en Géorgie. Même si les psychiatres et les psychologues sont peu nombreux à travailler selon les connaissances scientifiques les plus récentes, beaucoup suivant encore les préceptes de l'ancienne école soviétique, il n'en demeure pas moins que le suivi psychiatrique y est assuré. Les troubles mentaux et du comportement sont la plupart du temps traités par médication, à l'exclusion d'un suivi psychothérapeutique. En revanche, les conditions de vie dans les établissements psychiatriques laissent encore souvent à désirer, malgré les efforts déployés par le gouvernement. A noter toutefois que depuis 2011, plusieurs établissements offrant des traitements psychiatriques, notamment à Tbilissi, ont été réhabilités et équipés, en conformité avec la législation géorgienne et avec les exigences internationales. Par ailleurs, plusieurs organisations non gouvernementales dont le champ d'action concerne précisément l'accompagnement et le soutien des personnes souffrant de maladies psychiques sont actives en Géorgie.</w:t>
      </w:r>
    </w:p>
    <w:p>
      <w:r>
        <w:rPr>
          <w:b/>
        </w:rPr>
        <w:t>E. 6.7</w:t>
      </w:r>
    </w:p>
    <w:p>
      <w:r>
        <w:t>Dans ce contexte, il y a lieu d'admettre qu'un suivi du genre de celui dont les recourants bénéficient actuellement est disponible en Géorgie, et qu'ils auront accès aux médicaments qui leur sont nécessaires. Même si l'encadrement et le suivi des personnes présentant des pathologies semblables à celles des intéressés ne correspondent pas, dans ce pays, à ceux disponibles en Suisse, le suivi psychiatrique n'ayant pas la même qualité, force est de constater que les soins essentiels garantissant des conditions minimales d'existence et des possibilités de traitement existent sur place. Dans ces conditions, on ne saurait considérer qu'en cas de renvoi en Géorgie, l'état de santé des recourants se dégraderait très rapidement au point de conduire, d'une manière certaine, à la mise en danger concrète de leur vie ou à une atteinte sérieuse, durable, et notablement plus grave de leur intégrité psychique, faute de possibilités d'être soignés. Il existe en particulier à Tbilissi, dont ils sont originaires, des structures médicales offrant les soins médicaux adéquats pour traiter les troubles dont ils sont affectés. Une fois dûment enregistrés dans leur pays, les démarches nécessaires pour bénéficier de prestations médicales et sociales ne devraient pas leur poser de difficultés. Le Tribunal est certes conscient que le simple fait d'un retour en Géorgie est de nature à plonger les intéressés dans une situation de stress préjudiciable. Toutefois, il ressort des plus récents rapports médicaux que leur état n'a plus de caractère aigu, et qu'après de longs traitements en Suisse, ce risque a perdu de son acuité. Seules considérées, les difficultés de santé des époux ne sont donc pas de nature à exclure l'exécution du renvoi en Géorgie, quand bien même la nécessité d'y retrouver un emploi et d'y poursuivre leurs traitements peut compliquer leur réintégration.</w:t>
      </w:r>
    </w:p>
    <w:p>
      <w:r>
        <w:rPr>
          <w:b/>
        </w:rPr>
        <w:t>E. 7.1</w:t>
      </w:r>
    </w:p>
    <w:p>
      <w:r>
        <w:t>Le Tribunal doit cependant accorder une attention particulière à la situation de C._______, s'agissant de la compatibilité du retour de cet enfant en Géorgie avec l'art. 3 al. 1 de la Convention du 20 novembre 1989 relative aux droits de l'enfant (CDE, RS 0.107 ; cf. ATAF 2009/28 consid. 9.3.4), qui consacre le principe de l'intérêt supérieur de l'enfant.</w:t>
      </w:r>
    </w:p>
    <w:p>
      <w:r>
        <w:rPr>
          <w:b/>
        </w:rPr>
        <w:t>E. 7.2</w:t>
      </w:r>
    </w:p>
    <w:p>
      <w:r>
        <w:t>Selon la jurisprudence (ATAF 2009/51 consid. 5.6 p. 749 ; 2009/28 consid. 9.3.2-9.3.5 p. 367-369), cet intérêt supérieur peut entrer en contradiction avec l'exécution du renvoi, et rendre celle-ci illicite, respectivement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p. 142-143).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(cf. ATF 123 II 125 consid. 4 ; a contrario ATAF 2007/16 consid. 9 p. 200-201). En conclusion, s'il reste un élément d'appréciation parmi d'autres, le principe de l'intérêt supérieur de l'enfant n'en doit pas moins se voir accorder, dans l'appréciation du caractère exécutable du renvoi, un poids particulier (cf. ATAF 2014/20, consid. 8.3.6 p. 306-307).</w:t>
      </w:r>
    </w:p>
    <w:p>
      <w:r>
        <w:rPr>
          <w:b/>
        </w:rPr>
        <w:t>E. 7.3</w:t>
      </w:r>
    </w:p>
    <w:p>
      <w:r>
        <w:t>Dans le cas d'espèce, C._______, aujourd'hui âgé de (...) ans, va entamer son adolescence. Il a quitté la Géorgie alors qu'il avait entre (...) et (...) ans ; il a donc passé la plus grande partie de son existence en Suisse, et il est probable qu'il ne garde guère de souvenirs de son pays d'origine, où il n'est jamais revenu entretemps. Entièrement scolarisé en Suisse, il s'y trouve donc totalement intégré, sa personnalité s'y étant formée et y ayant évolué au fil du temps. En cas de retour en Géorgie, C._______ verrait donc sa formation interrompue à un stade délicat, et devrait se réadapter au système scolaire d'un pays où il n'a ni lien ni repère, et dont les conditions de vie lui sont tout à fait étrangères ; à plus long terme, l'exécution du renvoi serait de nature à compromettre sa future formation professionnelle. A cela s'ajoute que l'enfant, d'abord perturbé par la situation de sa famille, a suivi, à partir de 2010, un traitement psychothérapeutique qui lui a permis de parvenir à la guérison. Selon le rapport du (...) juillet 2017, il s'est « admirablement intégré » en Suisse, et « un renvoi dans son pays d'origine serait dramatique ». Une telle mesure compromettrait ces résultats difficilement acquis et constituerait un déracinement d'une rigueur excessive, ce d'autant plus que les parents, accaparés par les nécessités de leur réintégration socio-professionnelle, également en charge de leur second fils, et eux-mêmes en traitement médical, ne seraient guère en mesure de l'aider à se réadapter.</w:t>
      </w:r>
    </w:p>
    <w:p>
      <w:r>
        <w:rPr>
          <w:b/>
        </w:rPr>
        <w:t>E. 7.4</w:t>
      </w:r>
    </w:p>
    <w:p>
      <w:r>
        <w:t>Ainsi, il apparaît qu'une conjugaison exceptionnelle de facteurs défavorables affecte C._______, dont le départ de Suisse représenterait un déracinement brutal, qui lui serait particulièrement dommageable. En conséquence, le Tribunal estime que l'exécution du renvoi de cet enfant est inexigible, voire illicite. Il y a lieu, en conséquence, de prononcer son admission provisoire ; celle-ci est en principe d'une durée d'un an (art. 85 al. 1 LEtr), renouvelable si nécessaire. L'admission provisoire s'étend aux parents de C._______, qui en assument la garde, ainsi qu'à son jeune frère, en vertu du principe de l'unité de la famille (cf. JICRA 1995 n° 24 consid. 10-11 p. 230-233).</w:t>
      </w:r>
    </w:p>
    <w:p>
      <w:r>
        <w:rPr>
          <w:b/>
        </w:rPr>
        <w:t>E. 8</w:t>
      </w:r>
    </w:p>
    <w:p>
      <w:r>
        <w:t>Dès lors, le recours doit être admis et la décision attaquée annulée en ce qu'elle ordonne l'exécution du renvoi des recourants. L'autorité de première instance est invitée à prononcer leur admission provisoire.</w:t>
      </w:r>
    </w:p>
    <w:p>
      <w:r>
        <w:rPr>
          <w:b/>
        </w:rPr>
        <w:t>E. 9.1</w:t>
      </w:r>
    </w:p>
    <w:p>
      <w:r>
        <w:t>L'assistance judiciaire ayant été accordée, il n'y a pas lieu de percevoir de frais (art. 65 al. 1 PA).</w:t>
      </w:r>
    </w:p>
    <w:p>
      <w:r>
        <w:rPr>
          <w:b/>
        </w:rPr>
        <w:t>E. 9.2</w:t>
      </w:r>
    </w:p>
    <w:p>
      <w:r>
        <w:t>En l'absence de note de frais complète,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9.3</w:t>
      </w:r>
    </w:p>
    <w:p>
      <w:r>
        <w:t>En l'espèce, la mandataire d'office a déposé, en annexe à sa réplique du 21 novembre 2014, une note d'honoraires se montant à 731 francs pour 3h20 de travail, au tarif horaire de 200 francs. Ont ensuite été produits, de 2015 à 2017, sur requête du Tribunal, plusieurs rapports médicaux, ce qui a nécessité, à l'appréciation du Tribunal, trois heures de travail supplémentaires. Dans le cas d'espèce, les frais assumés par la mandataire se montent donc à 950 francs (6h20 de travail au tarif horaire de 150 francs). Le recours étant partiellement admis, l'indemnité est fixée à la moitié de cette somme, soit 475 francs.</w:t>
      </w:r>
    </w:p>
    <w:p>
      <w:r>
        <w:rPr>
          <w:b/>
        </w:rPr>
        <w:t>E. 9.4</w:t>
      </w:r>
    </w:p>
    <w:p>
      <w:r>
        <w:t>Pour le surplus, conformément à l'art. 64 al. 1 PA, l'autorité de recours peut allouer, d'office ou sur requête, à la partie ayant entièrement ou partiellement gain de cause, une indemnité pour les frais indispensables et relativement élevés qui lui ont été occasionnés. Le recours étant partiellement admis, les dépens sont arrêtés à 475 francs, sur la base du calcul indiqué ci-dessus.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