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E-6472/2017 vom 21. November 2017</w:t>
      </w:r>
    </w:p>
    <w:p>
      <w:r>
        <w:t>Bundesverwaltungsgericht, 2017-11-21, DE</w:t>
      </w:r>
    </w:p>
    <w:p>
      <w:r>
        <w:rPr>
          <w:b/>
        </w:rPr>
        <w:t xml:space="preserve">Quelle: </w:t>
      </w:r>
      <w:r>
        <w:t>https://mcp.opencaselaw.ch/entscheid/bvger_E-6472_2017</w:t>
      </w:r>
    </w:p>
    <w:p>
      <w:r>
        <w:t>FR: TAF E-6472/2017 du 21 novembre 2017</w:t>
      </w:r>
    </w:p>
    <w:p>
      <w:r>
        <w:t>IT: TAF E-6472/2017 del 21 novembre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ausländerrechtlichen Wegweisung und des Wegweisungsvollzugs hat die Vorinstanz eine materielle Prüfung vorgenommen,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unbestrittenermassen in Italien aufgehalten. Italien ist ein verfolgungssicherer Drittstaat im Sinne von Art. 6a Abs. 2 Bst. b AsylG. Der Beschwerdeführer kann in diesen Drittstaat zurückkehren, zumal er dort als Flüchtling anerkannt wurde und die italienischen Behörden seiner Rückübernahme zugestimmt haben. In der Beschwerdeschrift stellt er denn auch nicht in Abrede, dass es sich bei Italien um einen sicheren Drittstaat handelt. Die Vorinstanz ist somit in Anwendung von Art. 31a Abs. 1 Bst. a AsylG zu Recht auf das Asylgesuch des Beschwerdeführers nicht eingetreten.</w:t>
      </w:r>
    </w:p>
    <w:p>
      <w:r>
        <w:rPr>
          <w:b/>
        </w:rPr>
        <w:t>E. 4</w:t>
      </w:r>
    </w:p>
    <w:p>
      <w:r>
        <w:t>Gemäss Art. 44 AsylG verfügt das SEM in der Regel die Wegweisung aus der Schweiz und ordnet den Vollzug an, wenn es das Asylgesuch ablehnt oder nicht darauf eintritt; es berücksichtigt dabei den Grundsatz der Einheit der Familie. Der Beschwerdeführer verfügt weder über eine ausländerrechtliche Aufenthaltsbewilligung noch über einen Anspruch auf Erteilung einer solchen (BVGE 2009/50 E. 9). Die Wegweisung wurde zu Recht angeordnet.</w:t>
      </w:r>
    </w:p>
    <w:p>
      <w:r>
        <w:rPr>
          <w:b/>
        </w:rPr>
        <w:t>E. 5.1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Der Beschwerdeführer rügt eine Verletzung der Einheit der Familie. Art. 44 AsylG gehe über die Tragweite von Art. 8 EMRK hinaus und beinhalte, dass die vorläufige Aufnahme eines Familienmitgliedes in der Regel zur vorläufigen Aufnahme der übrigen Familienangehörigen führe. Seine Ehefrau sei vorläufig aufgenommen worden und verfüge über ein faktisch gesichertes Aufenthaltsrecht, da sie bereits seit Mai 2015 in der Schweiz sei. Bei einer Rückkehr nach Italien wäre die räumliche Trennung zwischen ihm und seiner Familie zu gross.</w:t>
      </w:r>
    </w:p>
    <w:p>
      <w:r>
        <w:rPr>
          <w:b/>
        </w:rPr>
        <w:t>E. 5.2.2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Entscheidungen und Mitteilungen der [vormaligen] Schweizerischen Asylrekurskommission [EMARK] 1998 Nr. 31 E. 8). Auf diesen Grundsatz kann sich allerdings nicht berufen, wer - wie der Beschwerdeführer - in die Schweiz einreiste, nachdem seinem Familienmitglied die vorläufige Aufnahme erteilt wurde, ansonsten die gesetzlichen Bestimmungen über den Familiennachzug mittels Asylgesuchstellung in der Schweiz umgangen werden könnten (vgl. Urteil des BVGer D-2786/2016 vom 2. August 2016 E. 7.2.4.1). Die angefochtene Verfügung verstösst demnach nicht gegen den Grundsatz der Einheit der Familie gemäss Art. 44 AsylG.</w:t>
      </w:r>
    </w:p>
    <w:p>
      <w:r>
        <w:rPr>
          <w:b/>
        </w:rPr>
        <w:t>E. 5.2.3</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München/Basel/Wien 2016, S. 204; Mark E. Villiger, Handbuch der Europäischen Menschenrechtskonvention, 2. Aufl., Zürich 1999, S. 365; Urteil des BVGer E-7613/2016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Die Ehefrau des Beschwerdeführers sowie die gemeinsame Tochter verfügen lediglich über die vorläufige Aufnahme. Gemäss bundesgerichtlicher Rechtsprechung verfügt seine Ehefrau somit nicht über ein gefestigtes Aufenthaltsrecht in der Schweiz. Die Ehefrau und die Tochter befinden sich seit Mai 2015 in der Schweiz und erhielten erst am 14. Dezember 2016 die vorläufige Aufnahme. Angesicht der kurzen Dauer ihres Aufenthalts in der Schweiz kann nicht davon ausgegangen werden, dass es sich bei dieser Konstellation um eine Ausnahmesituation im vorerwähnten Sinn handelt. Hinzu kommt, dass sich der Beschwerdeführer nicht ansatzweise dazu äussert, ob er und seine Ehefrau die Voraussetzung eines gelebten Familienlebens gemäss Art. 8 EMRK erfüllen. Der Beschwerdeführer reichte einzig ein Heiratszertifikat ein, welches die angebliche kirchliche Trauung mit seiner Ehefrau belegen soll. Aus den Akten ist ersichtlich, dass der Beschwerdeführer sein Heimatland bereits im Juli 2008 verliess, am 11. Juni 2012 erstmals um Asyl in der Schweiz nachsuchte, am 20. November 2012 nach Italien überstellt wurde und am 1. Mai 2017 wieder in die Schweiz einreiste. Der Beschwerdeführer lebte demnach rund neun Jahre (Juli 2008 bis Mai 2017) von seiner Ehefrau getrennt. Angesichts dieses Umstandes kann von einem gelebten Familienleben zwischen dem Beschwerdeführer und seiner Frau bis zum Zeitpunkt seiner Einreise in die Schweiz nicht die Rede sein. Ebenso wenig ist davon auszugehen, dass während seiner äusserst kurzen Anwesenheit in der Schweiz ein nach Art. 8 EMRK geschütztes Familienleben aufgebaut werden konnte. Daran vermag auch die gemeinsame Tochter und das ungeborene Kind nichts zu ändern, zumal nicht einmal erwiesen ist, ob der Beschwerdeführer tatsächlich deren Vater ist. Zudem ist es ihm zuzumuten, seine Familie von Italien aus in der Schweiz zu besuchen. Ferner steht es dem Beschwerdeführer beziehungsweise seiner Ehefrau offen, gestützt auf die einschlägigen ausländerrechtlichen Bestimmungen ein Familiennachzugsverfahren - sei es in der Schweiz oder in Italien - in die Wege zu leiten. Die Berufung auf Art. 8 EMRK geht somit fehl.</w:t>
      </w:r>
    </w:p>
    <w:p>
      <w:r>
        <w:rPr>
          <w:b/>
        </w:rPr>
        <w:t>E. 5.2.4</w:t>
      </w:r>
    </w:p>
    <w:p>
      <w:r>
        <w:t>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5.2.5</w:t>
      </w:r>
    </w:p>
    <w:p>
      <w:r>
        <w:t>Aufgrund der Akten liegen keine Anhaltspunkte dafür vor, dass der Beschwerdeführer für den Fall einer Ausschaffung nach Italien dort mit beachtlicher Wahrscheinlichkeit einer nach Art. 3 EMRK oder Art. 1 FoK verbotenen Strafe oder Behandlung ausgesetzt wäre. Der Vollzug der Wegweisung ist zulässig.</w:t>
      </w:r>
    </w:p>
    <w:p>
      <w:r>
        <w:rPr>
          <w:b/>
        </w:rPr>
        <w:t>E. 5.3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Italien ist ein sicherer Drittstaat, in dem keine Situation von allgemeiner Gewalt herrscht. Beim Beschwerdeführer handelt es sich um einen jungen gesunden Mann. Des Weiteren kann er gegenüber den italienischen Behörden seinen Anspruch auf Unterstützung, Unterkunft und medizinische Versorgung geltend machen. Es ist demnach nicht davon auszugehen, dass er bei einer Rückkehr nach Italien in eine existentielle Notlage geraten würde. Der Vollzug der Wegweisung ist somit zumutbar.</w:t>
      </w:r>
    </w:p>
    <w:p>
      <w:r>
        <w:rPr>
          <w:b/>
        </w:rPr>
        <w:t>E. 5.4</w:t>
      </w:r>
    </w:p>
    <w:p>
      <w:r>
        <w:t>Nachdem die italienischen Behörden einer Rückübernahme des Beschwerdeführers ausdrücklich zugestimmt haben, ist der Vollzug der Wegweisung auch möglich (Art. 83 Abs. 2 AuG).</w:t>
      </w:r>
    </w:p>
    <w:p>
      <w:r>
        <w:rPr>
          <w:b/>
        </w:rPr>
        <w:t>E. 5.5</w:t>
      </w:r>
    </w:p>
    <w:p>
      <w:r>
        <w:t>Zusammenfassend ist festzustellen, dass der Wegweisungsvollzug als zulässig, zumutbar und möglich zu erkennen ist, womit die Anordnung einer vorläufigen Aufnahme ausser Betracht fällt (Art. 83 Abs. 1-4 AuG).</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Aufgrund der vorstehenden Erwägungen haben seine Begehren als aussichtslos zu gelten.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7.3</w:t>
      </w:r>
    </w:p>
    <w:p>
      <w:r>
        <w:t>Mit dem Urteil ist das Gesuch um Erlass des Kostenvorschusses und Gewährung der aufschiebenden Wirkung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