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E-6470/2013 vom 28. August 2014</w:t>
      </w:r>
    </w:p>
    <w:p>
      <w:r>
        <w:t>Bundesverwaltungsgericht, 2014-08-28, DE</w:t>
      </w:r>
    </w:p>
    <w:p>
      <w:r>
        <w:rPr>
          <w:b/>
        </w:rPr>
        <w:t xml:space="preserve">Quelle: </w:t>
      </w:r>
      <w:r>
        <w:t>https://mcp.opencaselaw.ch/entscheid/bvger_E-6470_2013</w:t>
      </w:r>
    </w:p>
    <w:p>
      <w:r>
        <w:t>FR: TAF E-6470/2013 du 28 août 2014</w:t>
      </w:r>
    </w:p>
    <w:p>
      <w:r>
        <w:t>IT: TAF E-6470/2013 del 28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wegen fehlender Glaubhaftigkeit der Asylvorbringen ab. Dazu führte es im Wesentlichen aus, die Evaluation des Alltagswissenstests habe nur eine kleine Wahrscheinlichkeit ergeben, dass der Beschwerdeführer im behaupteten geografischen Raum gelebt habe. Anlässlich der Gewährung des rechtlichen Gehörs zum Resultat des Tests habe er Verständigungsprobleme als Grund für die aufgetretenen Ungereimtheiten genannt, was nicht überzeuge. Die geltend gemachte Ausreise sei nicht glaubhaft gemacht. Insbesondere seien die Angaben zum Auffinden des Schleppers unsubstanziiert und zu den Transport- und Hotelpreisen realitätsfremd ausgefallen. Sodann seien die geschilderten Asylgründe unsubstanziiert, tatsachenwidrig und widersprüchlich geblieben. Aufgrund der fehlenden Identitätspapiere, der unglaubhaften Ausreise, der unglaubhaften Asylgründe, der mangelhaften Länderkenntnisse und der gänzlich fehlenden Chinesisch-Kenntnisse sei auszuschliessen, dass der Beschwerdeführer jemals in der von ihm angegebenen Region gelebt habe und er Staatsbürger der Volksrepublik China sei. Im Exil geborene Tibeter erhielten die chinesische Staatsbürgerschaft nicht.</w:t>
      </w:r>
    </w:p>
    <w:p>
      <w:r>
        <w:rPr>
          <w:b/>
        </w:rPr>
        <w:t>E. 4.2</w:t>
      </w:r>
    </w:p>
    <w:p>
      <w:r>
        <w:t>In der Vernehmlassung führte das BFM sodann aus, beim Alltagsspezialisten, der das Interview durchgeführt habe, handle es sich um eine Frau, die Angaben zur Qualifikation seien bei allen Alltagsspezialisten in der männlichen Form verfasst. Somit liege kein Verfahrensfehler vor, wie vom Beschwerdeführer in der Rechtsmitteleingabe moniert werde. Die eingereichten Beweismittel 2, 3 und 4 vermöchten sodann die Schlussfolgerung, dass eine Herkunft des Beschwerdeführers aus China unglaubhaft sei, nicht umzustossen. Die Beweismittel 7 und 8 nähmen Bezug auf Tibeter in Tibet respektive Nepal, wobei festzustellen sei, dass der Vollzug der Wegweisung in die Volksrepublik China ausgeschlossen und auch keine Wegweisung nach Nepal verfügt worden sei.</w:t>
      </w:r>
    </w:p>
    <w:p>
      <w:r>
        <w:rPr>
          <w:b/>
        </w:rPr>
        <w:t>E. 4.3</w:t>
      </w:r>
    </w:p>
    <w:p>
      <w:r>
        <w:t>Die Identität des Beschwerdeführers steht bis heute nicht gesichert fest.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4.3.1</w:t>
      </w:r>
    </w:p>
    <w:p>
      <w:r>
        <w:t>Der Beschwerdeführer hat im vorinstanzlichen Verfahren weder Ausweispapiere noch irgendwelche Beweismittel, die geeignet wären, etwas zur Klärung seiner Identität und seines Herkunftslandes beizutragen, eingereicht. Wohl gab er am 23. Dezember 2013 an, er könne auf einem Umweg ein Familienbuch besorgen, um in seiner nächsten Eingabe zu behaupten, er versuche seit dem 11. Dezember 2013, das Familienbuch zu organisieren, und am 27. Februar 2014 zu bestätigen, das Familienbüchlein sei unterwegs, es sei jedoch mit Verzögerungen zu rechnen. Auffällig ist allerdings, dass der Beschwerdeführer zu keiner Zeit konkret darlegte, wie, von wem und auf welchem Weg er das genannte Dokument erhältlich machen wolle. Bis zum heutigen Datum ging das in Aussicht gestellte Dokument denn auch nicht ein, ohne dass der Beschwerdeführer erklärt hätte, was die Gründe dafür sind. Dieses Verhalten lässt den Schluss zu, dass der Beschwerdeführer an der Beschaffung von geeigneten Dokumenten nicht interessiert ist, sondern vielmehr versucht, das Verfahren mit seinem Verhalten in die Länge zu ziehen und damit für sich Vorteile zu erlangen. Dies stellt eine Verletzung der ihm obliegenden Mitwirkungspflicht gemäss Art. 8 AsylG dar, auf welche ihn die Vorinstanz bereits anlässlich der Befragung (vgl. A 4/11 S. 2) und später erneut bei der Anhörung (vgl. A 12/19 S. 2) hingewiesen hatte.</w:t>
      </w:r>
    </w:p>
    <w:p>
      <w:r>
        <w:rPr>
          <w:b/>
        </w:rPr>
        <w:t>E. 4.4</w:t>
      </w:r>
    </w:p>
    <w:p>
      <w:r>
        <w:t>Seine Angaben bezüglich des Flucht- und Reisewegs sind sodann trivial. Neben den vom BFM bereits festgestellten Ungereimtheiten ist nicht glaubhaft, dass er weder die Fluggesellschaften, mit denen er geflogen sei, noch die Ankunftsdestination des ersten und des zweiten Fluges kennen soll, wird diese doch bei einer Flugreise auf diversen Bildschirmen am Gate angezeigt, steht auf dem Ticket, wird vom Piloten angesagt und ist bei der Ankunft mehrmals ersichtlich. Ausserdem hat die vom BFM mit der Evaluation des Alltagswissenstests beauftragte fachkundige Person in ausführlicher, nachvollziehbarer und inhaltlich überzeugender Weise die Zweifel an der behaupteten Herkunft des Beschwerdeführers begründet. Der Vorinstanz ist zuzustimmen, dass überwiegende Zweifel an seiner geltend gemachten Herkunft bestehen.</w:t>
      </w:r>
    </w:p>
    <w:p>
      <w:r>
        <w:rPr>
          <w:b/>
        </w:rPr>
        <w:t>E. 4.5</w:t>
      </w:r>
    </w:p>
    <w:p>
      <w:r>
        <w:t>Hinzu kommt, dass das Personalienblatt des Empfangszentrums (vgl. A 1/2) sich mit tadelloser und offensichtlich geübter Schrift ausgefüllt in den Akten befindet. Darauf bestätigte der Beschwerdeführer, dass er dieses selbstständig ausgefüllt habe. Selbst wenn die allgemeine Schulpflicht in der Volksrepublik China noch nicht in jedem Dorf in Tibet durchgesetzt worden wäre, ist in Anbetracht der Schriftkenntnisse des Beschwerdeführers ein Mangel an jeglicher schulischen Ausbildung und das Erlernen allein durch den Vater nicht glaubhaft (vgl. A 4/11 S. 4).</w:t>
      </w:r>
    </w:p>
    <w:p>
      <w:r>
        <w:rPr>
          <w:b/>
        </w:rPr>
        <w:t>E. 4.6</w:t>
      </w:r>
    </w:p>
    <w:p>
      <w:r>
        <w:t>Die Vorinstanz hat in der angefochtenen Verfügung zahlreiche Ungereimtheiten dargelegt, auf die - zur Vermeidung von Wiederholungen - ohne weiteres verwiesen werden kann. Der Beschwerdeführer setzt sich in der Beschwerdeschrift nicht substanziiert mit den Argumenten der Vorinstanz auseinander, sondern beschränkt sich im Wesentlichen darauf, auf der Richtigkeit seiner Vorbringen zu beharren und die vorinstanzlichen Erwägungen in pauschaler Art zu bestreiten. Sein Hinweis auf Verständigungsprobleme mit der Expertin des Alltagswissenstests (wie bereits anlässlich der Gewährung des rechtlichen Gehörs durch das BFM) ist als blosse Schutzbehauptung zu werten, da er nicht angibt, inwiefern seine Antworten konkret von Verständigungsproblemen betroffen sein sollen. Auch ist den Akten an keiner Stelle ein Hinweis dafür zu entnehmen, dass der Beschwerdeführer so nervös und psychisch unsicher gewesen wäre, dass er nicht in der Lage gewesen wäre, die ihm gestellten Fragen substanziiert, stimmig und der Realität entsprechend zu beantworten. Dem Beschwerdeführer ist es nicht gelungen, die Unglaubhaftigkeit seiner Vorbringen zu zentralen Punkten seiner Herkunft und seines Reisewegs zu widerlegen.</w:t>
      </w:r>
    </w:p>
    <w:p>
      <w:r>
        <w:rPr>
          <w:b/>
        </w:rPr>
        <w:t>E. 4.7</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w:t>
      </w:r>
    </w:p>
    <w:p>
      <w:r>
        <w:rPr>
          <w:b/>
        </w:rPr>
        <w:t>E. 4.8</w:t>
      </w:r>
    </w:p>
    <w:p>
      <w:r>
        <w:t>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w:t>
      </w:r>
    </w:p>
    <w:p>
      <w:r>
        <w:rPr>
          <w:b/>
        </w:rPr>
        <w:t>E. 4.9</w:t>
      </w:r>
    </w:p>
    <w:p>
      <w:r>
        <w:t>Wie bereits ausgeführt, ist das Gericht mit der Vorinstanz der Auffassung, dass der Beschwerdeführer durch die Verheimlichung respektive Verschleierung seiner wahren Herkunft die ihm obliegende Mitwirkungspflicht verletzt und dadurch den Behörden nähere Abklärungen und eine Rückschaffung in seinen tatsächlichen Heimatstaat oder einen Drittstaat verunmöglicht. Durch die Verletzung dieser Pflicht verunmöglicht er auch die Abklärung, welchen effektiven Status er in Indien respektive Nepal innehat. Er hat die Folgen seiner fehlenden Mitwirkung insofern zu tragen, als seitens der Asylbehörden der Schluss gezogen werden muss, dass keine flüchtlings- oder wegweisungsbeachtlichen Gründe gegen eine Rückkehr an seinen bisherigen Aufenthaltsort bestehen (vgl. Urteil des BVGer E-2981/2012 vom 20. Mai 2014 E. 5.10).</w:t>
      </w:r>
    </w:p>
    <w:p>
      <w:r>
        <w:rPr>
          <w:b/>
        </w:rPr>
        <w:t>E. 5</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sich, näher auf die Beschwerdevorbringen im Asylpunkt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4.6 vorstehend). Ein Vollzug der Wegweisung in die Volksrepublik China ist im vorinstanzlichen Entscheid ausdrücklich ausgeschlossen worden (vgl. BFM-Verfügung vom 21. Oktober 2013, Dispositiv Ziff. 5).</w:t>
      </w:r>
    </w:p>
    <w:p>
      <w:r>
        <w:rPr>
          <w:b/>
        </w:rPr>
        <w:t>E. 9</w:t>
      </w:r>
    </w:p>
    <w:p>
      <w:r>
        <w:t>Mit dem Vorenthalten von Informationen und dem Fehlen konkreter Bemühungen, Ausweispapiere und Beweismittel zu beschaffen, die seine Identität, Herkunft und Vorbringen beweisen könnten, ist der Beschwerdeführer selber dafür verantwortlich, dass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10</w:t>
      </w:r>
    </w:p>
    <w:p>
      <w:r>
        <w:t>Es obliegt dem Beschwerdeführer, sich die für eine Rückkehr allenfalls benötigten Reisedokumente zu beschaffen (Art. 8 Abs. 4 AsylG; vgl. BVGE 2008/34 E. 12), weshalb der Vollzug der Wegweisung auch als möglich zu bezeichnen ist.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Das mit der Beschwerde gestellte Gesuch um Gewährung der unentgeltlichen Prozessführung ist indes gutzuheissen, nachdem die Fürsorgeabhängigkeit des Beschwerdeführers belegt ist und die Begehren zum Zeitpunkt der Beschwerdeerhebung nicht als aussichtslos zu taxieren waren. Es sind somit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