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E-6470/2012 vom 5. März 2013</w:t>
      </w:r>
    </w:p>
    <w:p>
      <w:r>
        <w:t>Bundesverwaltungsgericht, 2013-03-05, DE</w:t>
      </w:r>
    </w:p>
    <w:p>
      <w:r>
        <w:rPr>
          <w:b/>
        </w:rPr>
        <w:t xml:space="preserve">Quelle: </w:t>
      </w:r>
      <w:r>
        <w:t>https://mcp.opencaselaw.ch/entscheid/bvger_E-6470_2012</w:t>
      </w:r>
    </w:p>
    <w:p>
      <w:r>
        <w:t>FR: TAF E-6470/2012 du 5 mars 2013</w:t>
      </w:r>
    </w:p>
    <w:p>
      <w:r>
        <w:t>IT: TAF E-6470/2012 del 5 marzo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Beschwerdeführerin um eine Einreisebewilligung und Asyl in Form einer anfechtbaren Verfügung ersucht, ist sie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Beschwerdeführerin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 Am 25. Oktober 2012 ersuchte der Rechtsvertreter das BFM zum vierten Mal, das Gesuch umgehend an Hand zu nehmen und stellte rechtliche Schritte in Aussicht für den Fall, dass es bis Ende November 2012 nicht fortgesetzt werde. Nachdem das BFM bis Ende November 2012 in keiner Form reagiert hatte, durfte der Rechtsvertreter nach Treu und Glauben annehmen, dass die Vorinstanz vorderhand keine anfechtbare Verfügung erlässt. Da er am 13. Dezember 2012 - wie in Aussicht gestellt - beim Bundesverwaltungsgericht Beschwerde einreichte, ist diese fristgerecht erhoben. Auf die frist- und formgerecht eingereichte Beschwerde ist einzutreten.</w:t>
      </w:r>
    </w:p>
    <w:p>
      <w:r>
        <w:rPr>
          <w:b/>
        </w:rPr>
        <w:t>E. 2</w:t>
      </w:r>
    </w:p>
    <w:p>
      <w:r>
        <w:t>In der Beschwerdeschrift wird ausgeführt, seit Einreichung des Gesuchs beim BFM seien beinahe eineinhalb Jahre vergangen. Die Beschwerdeführerin lebe im Sudan, in einer unsicheren Umgebung, in welcher sie Repressionen und/oder eine Inhaftierung zu befürchten habe. Sie sei bereits einmal ungerechtfertigt inhaftiert worden. Vor diesem Hintergrund sei die Vorgehensweise des BFM absolut stossend.</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w:t>
      </w:r>
    </w:p>
    <w:p>
      <w:r>
        <w:rPr>
          <w:b/>
        </w:rPr>
        <w:t>E. 4.1</w:t>
      </w:r>
    </w:p>
    <w:p>
      <w:r>
        <w:t>Dem Bundesverwaltungsgericht ist die hohe Belastung der Vorinstanz bekannt. Im Zeitpunkt der Einreichung der Beschwerde (Dezember 2012) waren rund 19'000 Gesuche bei der Vorinstanz rechtshängig. Weiter ist dem Gericht bekannt, dass die Vorinstanz nicht untätig ist und Massnahmen getroffen hat, um die Pendenzen abzubauen. In Anbetracht der hohen Pendenzen kann deshalb offensichtlich nicht jedes Asylverfahren umgehend entschieden werden. Aufgrund dieser besonderen Umstände ist generell unvermeidbar, dass Verfahren länger dauern können.</w:t>
      </w:r>
    </w:p>
    <w:p>
      <w:r>
        <w:rPr>
          <w:b/>
        </w:rPr>
        <w:t>E. 4.2</w:t>
      </w:r>
    </w:p>
    <w:p>
      <w:r>
        <w:t>Das Asylgesuch der Beschwerdeführerin datiert vom 23. Juni 2011. Am 31. Juli 2012 ersuchte die Vorinstanz die Beschwerdeführerin einen Fragekatalog zu beantworten. Am 31. August 2012 antwortete die Beschwerdeführerin. Weitergehende Verfahrenshandlungen seitens der Vorinstanz sind nicht ersichtlich. Das Asylverfahren bezweckt den Schutz hoher Rechtsgüter wie Leib, Leben und persönlicher Freiheit (Art. 3 Abs. 2 AsylG). Bei Asylgesuchen aus dem Ausland (sog. Auslandverfahren) halten sich die Asylsuchenden in der Regel im Verfolgerstaat auf, weshalb eine beförderliche Behandlung ihres Gesuchs grundsätzlich geboten ist. Vorliegend hat die Beschwerdeführerin zwar den Heimatstaat (Eritrea) bereits verlassen und befindet sich in einem Drittstaat (Sudan). Insoweit ist davon auszugehen, dass sie dort bereits Schutz vor Verfolgung gefunden hat. Indessen hat die Beschwerdeführerin in mehreren Eingaben um eine baldige Entscheidung ersucht und auf ihre schwierige Lebenssituation sowie ihre Verhaftung hingewiesen. In Anbetracht der für die Beschwerdeführerin ungewissen Situation im Sudan erscheint eine beförderliche Behandlung des Gesuchs angezeigt. Hinzu kommt, dass das vorliegende Verfahren weder besonders schwierige Sachverhalts- noch Rechtsfragen stellt. Zudem hat die Vorinstanz im massgebenden Zeitraum andere Verfahren, die im gleichen Zeitraum eingeleitet wurden und denen ein ähnlicher Sachverhalt zu Grund liegt, entschieden. Demensprechend hat sie in der Vernehmlassung auch nur auf die hohe Geschäftslast hingewiesen und keine individuell-konkreten Gründe angeführt. Die Vorinstanz hat demnach ohne ersichtlichen Grund über ein Jahr zugewartet, bis sie der Beschwerdeführerin einen - im Übrigen weitgehend standardisierten - Fragekatalog unterbreitet hat. Auch nach Eingang der Antworten hat sie, trotz nochmaligen, dringlichen Ersuchens vom 25. Oktober 2012 um einen umgehenden Entscheid und ungeachtet der in Aussicht gestellten rechtlichen Schritte, keine Verfügung erlassen. Diese Vorgehensweise, insbesondere das Zuwarten von über elf Monaten mit der Zustellung des Fragekataloges trotz mehrerer Ersuchen um einen Entscheid, ist unbesehen allfälliger anderer überzeitiger Verfahren grundsätzlich zu lange. Das Beschleunigungsgebot von Art. 29 Abs. 1 BV ist somit verletzt.</w:t>
      </w:r>
    </w:p>
    <w:p>
      <w:r>
        <w:rPr>
          <w:b/>
        </w:rPr>
        <w:t>E. 5</w:t>
      </w:r>
    </w:p>
    <w:p>
      <w:r>
        <w:t>Die Rüge der Rechtsverzögerung erweist sich demnach als begründet. Die Beschwerde ist gutzuheissen. Die Akten gehen an die Vorinstanz zurück, verbunden mit der Anweisung, das Gesuch der Beschwerdeführerin vom 23. Juni 2011 beförderlich zu behandeln und zügig einer anfechtbaren Verfügung zuzuführen.</w:t>
      </w:r>
    </w:p>
    <w:p>
      <w:r>
        <w:rPr>
          <w:b/>
        </w:rPr>
        <w:t>E. 6.1</w:t>
      </w:r>
    </w:p>
    <w:p>
      <w:r>
        <w:t>Bei diesem Ausgang des Verfahrens sind der Beschwerdeführerin keine Kosten aufzuerlegen (Art. 63 Abs. 1 und 2 VwVG).</w:t>
      </w:r>
    </w:p>
    <w:p>
      <w:r>
        <w:rPr>
          <w:b/>
        </w:rPr>
        <w:t>E. 6.2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eine Kostennote in der Höhe von Fr. 812.85 eingereicht. Darin weist er für die Zeit vom 13. Dezember 2012 bis 11. Januar 2013 einen zeitlichen Aufwand von 3 Stunden und 13 Minuten (bei einem Stundenansatz von Fr. 230.-) und Barauslagen von Fr. 12.80 aus. Der zeitliche Aufwand sowie die geltend gemachten Barauslagen erscheinen als angemessen. In Anwendung von Art. 8, 9 und 11 VGKE sowie einem Stundenansatz von Fr. 230.- ist die Parteientschädigung auf Fr. 812.85 (inkl. Auslagen und MWSt) festzusetzen. Das BFM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