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E-6460/2023 vom 1. Dezember 2023</w:t>
      </w:r>
    </w:p>
    <w:p>
      <w:r>
        <w:t>Bundesverwaltungsgericht, 2023-12-01, DE</w:t>
      </w:r>
    </w:p>
    <w:p>
      <w:r>
        <w:rPr>
          <w:b/>
        </w:rPr>
        <w:t xml:space="preserve">Quelle: </w:t>
      </w:r>
      <w:r>
        <w:t>https://mcp.opencaselaw.ch/entscheid/bvger_E-6460_2023</w:t>
      </w:r>
    </w:p>
    <w:p>
      <w:r>
        <w:t>FR: TAF E-6460/2023 du 1 décembre 2023</w:t>
      </w:r>
    </w:p>
    <w:p>
      <w:r>
        <w:t>IT: TAF E-6460/2023 del 1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 33 VGG; Art. 83 Bst. d Ziff. 1 BGG),</w:t>
      </w:r>
    </w:p>
    <w:p>
      <w:r>
        <w:rPr>
          <w:b/>
        </w:rPr>
        <w:t>E. 1.2</w:t>
      </w:r>
    </w:p>
    <w:p>
      <w:r>
        <w:t>Das Verfahren richtet sich nach dem VwVG, dem VGG und dem BGG, soweit das AsylG (SR 142.31) nichts anderes bestimmt (Art. 37 VGG und Art. 6 AsylG).</w:t>
      </w:r>
    </w:p>
    <w:p>
      <w:r>
        <w:rPr>
          <w:b/>
        </w:rPr>
        <w:t>E. 1.3</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3.4</w:t>
      </w:r>
    </w:p>
    <w:p>
      <w:r>
        <w:t>Jeder Mitgliedstaat kann abweichend von Art. 3 Abs. 1 Dublin-III-VO beschliessen, einen bei ihm von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Der Beschwerdeführer erhebt im Rahmen seines kassatorischen Rechtsbegehrens ausschliesslich formelle Rügen.</w:t>
      </w:r>
    </w:p>
    <w:p>
      <w:r>
        <w:rPr>
          <w:b/>
        </w:rPr>
        <w:t>E. 4.1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4.2</w:t>
      </w:r>
    </w:p>
    <w:p>
      <w:r>
        <w:t>Der Beschwerdeführer erblickt eine unvollständige und unrichtige Sachverhaltsfeststellung darin, dass in der angefochtenen Verfügung ausgeführt worden sei, es seien keine weiteren Arzttermine ausstehend, obwohl aus dem Verlaufsblatt sowie dem Arztbericht vom 18. Oktober 2023 eindeutig hervorgehe, dass der Beschwerdeführer einem Psychiater / einer Psychiaterin überwiesen worden sei. Damit seien nicht alle für den Entscheid rechtswesentlichen Sachumstände berücksichtigt worden. Hierzu ist festzuhalten, dass eine empfohlene Überweisung an einen Spezialisten nicht mit einem Arzttermin gleichzusetzen ist. Unter diesem Blickwinkel sind die Ausführungen der Vorinstanz nicht zu beanstanden. Dessen ungeachtet hat die Vorinstanz bei der Entscheidfindung sämtliche medizinischen Unterlagen berücksichtigt. Bei den Akten liegen das (interne) Verlaufsblatt der medizinischen Betreuung, ein Mailverlauf mit der medizinischen Pflege vom 13. November 2023 sowie Arztberichte vom 21. September 2023, 26. September 2023, 3. Oktober 2023, 18. Oktober 2023 und 21. November 2023, welche jeweils die gestellten Diagnosen und die verordneten Medikamente festhalten. Die dargestellten Befunde (insbesondere [...]) stellen, auch wenn sie nicht zu verharmlosen sind, keine einer Überstellung nach Kroatien entgegenstehenden, akut lebensbedrohlichen Erkrankungen dar (vgl. dazu Urteil des EGMR Paposhvili gegen Belgien vom 13. Dezember 2016, Grosse Kammer, 41738/10, §§ 180-193 m.w.H.). Da Kroatien über eine ausreichende medizinische Infrastruktur verfügt (vgl. u.v. Urteil des BVGer D-5225/2023 vom 4. Oktober 2023), ist davon auszugehen, dass Betroffene Zugang zur nötigen Unterstützung erhalten, zumal das Land aufgrund der Richtlinie des Europäischen Parlaments und des Rates 2013/33/EU vom 26. Juni 2013 zur Festlegung von Normen für die Aufnahme von Personen, die internationalen Schutz beantragen (sog. Aufnahmerichtlinie) selbst zur Behandlung schwerer psychischer Störungen und gegebenenfalls zur psychologischen Betreuung verpflichtet ist (vgl. Urteil des BVGer E-3909/2023 vom 26. Juli 2023 E. 5.3.3). Hinweise darauf, dass Kroatien dem Beschwerdeführer eine notwendige Behandlung verweigern würde, liegen nicht vor. Vor diesem Hintergrund sind von allfälligen zusätzlichen medizinischen Untersuchungen betreffend seine psychischen Beschwerden keine rechtserheblichen neuen Erkenntnisse zu erwarten (zur antizipierten Beweiswürdigung vgl. BGE 141 I 60 E. 3.3 oder BGE 136 I 229 E. 5.3). Die Rüge erweist sich somit als unbegründet.</w:t>
      </w:r>
    </w:p>
    <w:p>
      <w:r>
        <w:rPr>
          <w:b/>
        </w:rPr>
        <w:t>E. 4.3</w:t>
      </w:r>
    </w:p>
    <w:p>
      <w:r>
        <w:t>Der Beschwerdeführer rügt ferner eine unvollständige Feststellung der kroatischen Zuständigkeit. Er macht geltend, die kroatischen Behörden hätten dem Gesuch um Wiederaufnahme des SEM zugestimmt, um abzuklären, welcher Staat für die Durchführung seines Asylverfahrens zuständig sei. Dies würde nicht zur vorgesehenen Wiederaufnahme, sondern zu einer erneuten Prüfung einer weiteren Zuständigkeit durch die kroatischen Behörden führen, wodurch ihm das in der Dublin-III-VO vorgesehene Recht auf Prüfung seines Schutzbedarfs genommen werde. Diese Ausführungen sind nicht geeignet, die Zuständigkeit Kroatiens für das Asylverfahren des Beschwerdeführers in Frage zu stellen, und vermögen folglich auch keine Rückweisung der Sache an die Vorinstanz zu rechtfertigen. Ein Abgleich der Fingerabdrücke des Beschwerdeführers ergab, dass er am (...) 2023 in Kroatien daktyloskopisch erfasst wurde. Gleichentags stellte er gemäss Auszug aus der «Eurodac»-Datenbank ein Asylgesuch. Durch seine Weiterreise in die Schweiz noch am Tag der Erfassung der Fingerabdrücke und Stellung des Asylgesuchs in Kroatien hat sich der Beschwerdeführer einem dortigen Asylverfahren entzogen. Die kroatischen Behörden stimmten dem Wiederaufnahmeersuchen der Vorinstanz am 2. Oktober 2023 gestützt auf Art. 20 Abs. 5 Dublin-III-VO zu. Somit sind sowohl die Antragsstellung in Kroatien als auch der Umstand, dass das kroatische Verfahren zur Bestimmung des für das Asylgesuch des Beschwerdeführers zuständigen Mitgliedstaats gemäss Art. 20 Abs. 5 Dublin-III-VO noch nicht abgeschlossen wurde, als erstellt zu erachten mit der Folge, dass dieses nach einer Rücküberstellung des Beschwerdeführers fortgesetzt wird. Zusammenfassend ist die Zuständigkeit Kroatiens grundsätzlich gegeben und bedarf keiner weiteren Abklärungen.</w:t>
      </w:r>
    </w:p>
    <w:p>
      <w:r>
        <w:rPr>
          <w:b/>
        </w:rPr>
        <w:t>E. 4.4</w:t>
      </w:r>
    </w:p>
    <w:p>
      <w:r>
        <w:t>Schliesslich beantragt der Beschwerdeführer die Einholung einer individuellen und konkreten Garantieerklärung beim Staat Kroatien, aus welcher hervorgehe, dass der Beschwerdeführer im Falle einer Dublin-Überstellung nicht inhaftiert, angemessen untergebracht, angemessen medizinisch (psychiatrisch) behandelt sowie sein Antrag auf internationalen Schutz im kroatischen Asylverfahren - ohne eine weitere Zuständigkeitsprüfung durch Kroatien - materiell behandelt werde. Hierzu ist festzuhalten, dass nach der Praxis des Bundesverwaltungsgerichts zum heutigen Zeitpunkt - unabhängig davon, ob es sich um ein «take charge»- oder ein «take back»-Verfahren handelt - keine konkreten Gründe für die Annahme vorliegen,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Auch bestehen keine Gründe für die Annahme, Kroatien werde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Des Weiteren liegen keine konkreten Anhaltspunkte vor, wonach die Gesundheit des Beschwerdeführers bei einer Überstellung nach Kroatien ernsthaft gefährdet würde. Die von ihm angeführten Beschwerden dürften einer Behandlung in Kroatien zugänglich sein (vgl. oben E. 4.2). Unter diesen Umständen bleibt kein Raum für das Einholen von Garantieerklärungen bei den kroatischen Behörden und der entsprechende Antrag ist abzuweisen. Die schweizerischen Behörden, die mit dem Vollzug der angefochtenen Verfügung beauftragt sind, werden dem aktuellen Gesundheitszustand des Beschwerdeführers bei der Organisation der Überstellung nach Kroatien Rechnung tragen, indem sie die dortigen Behörden im Sinne von Art. 31 und Art. 32 Dublin-III-VO vorgängig über seinen Gesundheitszustand und die allenfalls notwendige medizinische Behandlung informieren werden.</w:t>
      </w:r>
    </w:p>
    <w:p>
      <w:r>
        <w:rPr>
          <w:b/>
        </w:rPr>
        <w:t>E. 4.5</w:t>
      </w:r>
    </w:p>
    <w:p>
      <w:r>
        <w:t>Nach dem Gesagten besteht kein Anlass für die beantragte Rückweisung der Sache zur Neubeurteilung an die Vorinstanz.</w:t>
      </w:r>
    </w:p>
    <w:p>
      <w:r>
        <w:rPr>
          <w:b/>
        </w:rPr>
        <w:t>E. 5</w:t>
      </w:r>
    </w:p>
    <w:p>
      <w:r>
        <w:t>Die Beschwerde ist abzuweisen.</w:t>
      </w:r>
    </w:p>
    <w:p>
      <w:r>
        <w:rPr>
          <w:b/>
        </w:rPr>
        <w:t>E. 6</w:t>
      </w:r>
    </w:p>
    <w:p>
      <w:r>
        <w:t>Mit dem Entscheid in der Hauptsache sind die Gesuche um Erteilung der aufschiebenden Wirkung der Beschwerde und um Verzicht auf die Erhebung eines Kostenvorschusses gegenstandslos geworden. Der am 23. November 2023 verfügte einstweilige Vollzugsstopp fällt mit dem vorliegenden Urteil dahin.</w:t>
      </w:r>
    </w:p>
    <w:p>
      <w:r>
        <w:rPr>
          <w:b/>
        </w:rPr>
        <w:t>E. 7</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