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E-6455/2011 vom 5. Dezember 2011</w:t>
      </w:r>
    </w:p>
    <w:p>
      <w:r>
        <w:t>Bundesverwaltungsgericht, 2011-12-05, FR</w:t>
      </w:r>
    </w:p>
    <w:p>
      <w:r>
        <w:rPr>
          <w:b/>
        </w:rPr>
        <w:t xml:space="preserve">Quelle: </w:t>
      </w:r>
      <w:r>
        <w:t>https://mcp.opencaselaw.ch/entscheid/bvger_E-6455_2011</w:t>
      </w:r>
    </w:p>
    <w:p>
      <w:r>
        <w:t>FR: TAF E-6455/2011 du 5 décembre 2011</w:t>
      </w:r>
    </w:p>
    <w:p>
      <w:r>
        <w:t>IT: TAF E-6455/2011 del 5 dicembre 2011</w:t>
      </w:r>
    </w:p>
    <w:p>
      <w:pPr>
        <w:pStyle w:val="Heading2"/>
      </w:pPr>
      <w:r>
        <w:t>Regeste</w:t>
      </w:r>
    </w:p>
    <w:p>
      <w:r>
        <w:t>Asile (non-entrée en matière / procédure d'asile en Suisse après procédure d'asile UE/EEE)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La juge unique : Le greffier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