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E-6445/2017 vom 11. Juli 2019</w:t>
      </w:r>
    </w:p>
    <w:p>
      <w:r>
        <w:t>Bundesverwaltungsgericht, 2019-07-11, DE</w:t>
      </w:r>
    </w:p>
    <w:p>
      <w:r>
        <w:rPr>
          <w:b/>
        </w:rPr>
        <w:t xml:space="preserve">Quelle: </w:t>
      </w:r>
      <w:r>
        <w:t>https://mcp.opencaselaw.ch/entscheid/bvger_E-6445_2017</w:t>
      </w:r>
    </w:p>
    <w:p>
      <w:r>
        <w:t>FR: TAF E-6445/2017 du 11 juillet 2019</w:t>
      </w:r>
    </w:p>
    <w:p>
      <w:r>
        <w:t>IT: TAF E-6445/2017 del 11 luglio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begründet und ist im Verfahren einzelrichterlicher Zuständigkeit mit Zustimmung eines zweiten Richters oder einer zweiten Richterin (Art. 111 Bst. e AsylG) ohne Weiterungen und mit summarischer Begründung zu behandeln (Art. 111a Abs. 1 und 2 AsylG). Gestützt auf Art. 111b AsylG ist vorliegend auf einen Schriftenwechsel zu verzichten.</w:t>
      </w:r>
    </w:p>
    <w:p>
      <w:r>
        <w:rPr>
          <w:b/>
        </w:rPr>
        <w:t>E. 4.1</w:t>
      </w:r>
    </w:p>
    <w:p>
      <w:r>
        <w:t>Der Beschwerdeführer rügt eine Verletzung der Begründungspflicht und damit eine Verletzung des rechtlichen Gehörs. Dabei handelt es sich um eine formelle Rüge, die vorab zu beurteilen ist, da sie allenfalls geeignet wäre,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5.1</w:t>
      </w:r>
    </w:p>
    <w:p>
      <w:r>
        <w:t>Zur Begründung ihres ablehnenden Asylentscheids befand die Vorinstanz die Asylvorbringen des Beschwerdeführers als nicht asylrelevant, weshalb er die Flüchtlingseigenschaft nicht erfülle. Als zentralen Grund für seine Ausreise habe er die prekäre Sicherheitslage in Afghanistan und eine Verfolgung durch die Taliban geltend gemacht. Sie könne die Furcht des Beschwerdeführers nachvollziehen, es genüge jedoch nicht, eine Furcht mit möglichen zukünftigen Ereignissen zu begründen. Vielmehr müssten hinreichende Anhaltspunkte für eine konkrete Bedrohung vorhanden sein, die sich nicht nur auf das subjektive Empfinden des Betroffenen stützen würden. Er habe lediglich davon gehört, die Taliban hätten Kenntnis seiner Koordinaten und er habe nie direkt Kontakt zu den Taliban gehabt. Seine Arbeit bei einem sozialen Hilfswerk in seinem Heimatdorf habe er nicht wegen einer Verfolgung durch die Taliban verlassen, sondern weil das Projekt abgeschlossen gewesen sei und er eine neue Arbeit in E._______ aufgenommen habe. Der Drohbrief, den seine Familie erhalten habe, habe für ihn selbst keine Konsequenzen gehabt; dies spreche gegen eine gezielte asylrelevante Verfolgung. Zudem seien Drohbriefe der Taliban in ländlichen Gegenden weit verbreitet und diesen komme zufolge der leichten Fälschbarkeit kein Beweiswert zu. Die Vorbringen bezüglich der durch die Taliban versperrten Wege in seinem Heimatort, der Kriegssituation in E._______ und der Probleme mit den F._______ seien nicht asylrelevant, sondern Ausdruck der schwierigen Lage in seinem Heimatland. Weiter prüfte die Vorinstanz eine innerstaatliche Fluchtalternative nach Kabul und befand, er verfüge dort über Freunde, die ihm gut gesinnt seien. Den Verfolgungsmassnahmen könne er sich durch einen Wegzug nach Kabul entziehen, weshalb er nicht auf den Schutz der Schweiz angewiesen sei. Der Wegweisungsvollzug nach Afghanistan sei sodann zulässig und zumutbar, da er in Kabul über eine innerstaatliche Fluchtalternative verfüge. Er sei jung, besitze einen Universitätsabschluss und Arbeitserfahrung. In Kabul habe er ein tragfähiges soziales Netz. Ein Freund habe ihm Geld geliehen, um sein Studium und seinen Lebensunterhalt teilweise zu finanzieren. Die Schulden bei seinem Freund und Familienangehörigen würden für ihn kein Risiko darstellen. Sein Cousin habe ihm die Ausreise finanziert, weshalb eine finanzielle Grundlage vorliege. Ausserdem sei der Vollzug der Wegweisung technisch möglich und praktisch durchführbar.</w:t>
      </w:r>
    </w:p>
    <w:p>
      <w:r>
        <w:rPr>
          <w:b/>
        </w:rPr>
        <w:t>E. 5.2</w:t>
      </w:r>
    </w:p>
    <w:p>
      <w:r>
        <w:t>Der Beschwerdeführer macht geltend, die Vorinstanz könne zwar seine Furcht vor den Taliban nachvollziehen, sei sich aber dennoch sicher, diese Furcht sei unbegründet. Dies erwecke den Anschein, sie halte die Taliban zwar für furchteinflössend, jedoch nicht für besonders gefährlich. Trotz der Verneinung der Asylrelevanz seiner Asylvorbringen habe die Vorinstanz eine innerstaatliche Fluchtalternative nach Kabul geprüft. Wäre die Vorinstanz jedoch der Meinung, er werde in E._______ nicht verfolgt, dann hätte sie auch keine innerstaatliche Fluchtalternative prüfen müssen. Sie habe sich auch bei der Zumutbarkeit des Wegweisungsvollzugs auf die angeblich vorhandene innerstaatliche Fluchtalternative gestützt, weshalb davon ausgegangen werden müsse, dass sie eine asylrelevante Verfolgung in E._______ nicht ausschliesse. Unklar bleibe, ob die Vorinstanz davon ausgehe, er werde zwar lokal verfolgt, verfüge aber über eine innerstaatliche Fluchtalternative oder er habe in Afghanistan nichts Asylrelevantes zu befürchten. Beide Varianten begründe die Vorinstanz nur oberflächlich und unzureichend. Die vorinstanzliche Verfügung sei zufolge der Verletzung der Begründungspflicht aufzuheben und für eine Neubeurteilung zurückzuweisen. Bestritten werde sodann das Vorliegen einer innerstaatlichen Fluchtalternative in Kabul.</w:t>
      </w:r>
    </w:p>
    <w:p>
      <w:r>
        <w:rPr>
          <w:b/>
        </w:rPr>
        <w:t>E. 6.1</w:t>
      </w:r>
    </w:p>
    <w:p>
      <w:r>
        <w:t>Die Vorinstanz hat sich bei der Begründung ihres Entscheides mit den zentralen, entscheidrelevanten Vorbringen des Beschwerdeführers auseinanderzusetzen. Dieser Begründungspflicht ist sie nicht nachgekommen. Sie befand die Asylvorbringen des Beschwerdeführers zwar als nicht asylrelevant, prüfte aber dennoch eine innerstaatliche Fluchtalternative nach Kabul. Damit verunmöglichte sie ihm eine Anfechtung der vorinstanzlichen Verfügung, da nicht klar ist, ob nun eine asylrelevante Verfolgung vorliegt oder nicht. Die Prüfung seiner Asylvorbringen fiel sodann ungenügend aus. Die Vorinstanz erwähnte zwar, dass der Beschwerdeführer für ein soziales Hilfswerk gearbeitet habe. Mit keinem Wort ging sie darauf ein, dass sowohl "(...)" und "(...)" Hilfswerke sind, die ihren Hauptsitz in den USA haben. Das eingereichte Beweismittel zu seiner Tätigkeit bei "(...)" ignorierte sie vollständig. Die ständige Rechtsprechung des Bundesverwaltungsgerichts zu den Risikogruppen in Afghanistan (vgl. u.a. Urteile des BVGer E-7205/2017 vom 27. Februar 2018; E-4258/2016 vom 20. Dezember 2017) wurde zu Unrecht ebenfalls ausser Acht gelassen. Zu den geltend gemachten Problemen mit den F._______ fasste sie lediglich die Aussagen des Beschwerdeführers zusammen, ohne diese einer Prüfung zu unterziehen. Die Zumutbarkeit des Wegweisungsvollzugs nach Kabul begründete die Vorinstanz nur oberflächlich und sie beachtete die Rechtsprechung des Bundesverwaltungsgerichts zu Kabul nicht genügend. Gemäss Referenzurteil des Bundesverwaltungsgerichts D-5800/2016 vom 13. Oktober 2017 ist eine Wegweisung nach Kabul grundsätzlich als existenzbedrohend und demnach unzumutbar gemäss Art. 83 Abs. 4 AIG zu beurteilen, ausser es liegen besonders begünstigende Faktoren vor (vgl. E. 8.2 ff.). Solche günstigen Voraussetzungen könnten gemäss dem genannten Referenzurteil namentlich dann gegeben sein, wenn es sich bei der rückkehrenden Person um einen jungen, gesunden Mann handle. Unabdingbar sei in jedem Fall ein soziales Netz, das sich im Hinblick auf die Aufnahme und Wiedereingliederung des Rückkehrenden als tragfähig erweise. Dieses soziale Netz müsse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seien, sei nicht von einem tragfähigen sozialen Beziehungsnetz auszugehen. Es liege in der Natur der Sache, dass bei Personen, bei welchen Kabul lediglich eine Aufenthaltsalternative darstelle und die somit kaum oder nie in Kabul gelebt haben, eine Bejahung eines solchen tragfähigen sozialen Netzes noch grösserer Zurückhaltung bedürfe (vgl. E. 8.4.1).</w:t>
      </w:r>
    </w:p>
    <w:p>
      <w:r>
        <w:rPr>
          <w:b/>
        </w:rPr>
        <w:t>E. 6.2</w:t>
      </w:r>
    </w:p>
    <w:p>
      <w:r>
        <w:t>Zusammenfassend ist festzustellen, dass die Vorinstanz den Anspruch des Beschwerdeführers auf rechtliches Gehör verletzt hat. Eine Heilung ist aufgrund der Schwere der Verletzung der Verfahrensgrundsätze vorliegend ausgeschlossen. Die Beschwerde ist daher gutzuheissen. Die Verfügung vom 31. Oktober 2017 ist aufzuheben und die Sache ist im Sinne der Erwägungen zur vollständigen Feststellung des rechtserheblichen Sachverhalts sowie zur Gewährung des rechtlichen Gehörs und zur Neubeurteilung an die Vorinstanz zurückzuweisen. Die Vorinstanz ist insbesondere gehalten, die Vorbringen des Beschwerdeführers zu seiner Tätigkeit für die verschiedenen Hilfswerke im Lichte der Rechtsprechung des Bundesverwaltungsgerichts zu den Risikogruppen in Afghanistan einlässlich zu prüfen.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bei den Akten liegende Kostennote vom 8. Januar 2018 erscheint den Verfahrensumständen als angemessen. Die von der Vorinstanz auszurichtende Parteientschädigung ist demnach auf insgesamt Fr. 1'340.-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