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E-6437/2017 vom 29. November 2017</w:t>
      </w:r>
    </w:p>
    <w:p>
      <w:r>
        <w:t>Bundesverwaltungsgericht, 2017-11-29, DE</w:t>
      </w:r>
    </w:p>
    <w:p>
      <w:r>
        <w:rPr>
          <w:b/>
        </w:rPr>
        <w:t xml:space="preserve">Quelle: </w:t>
      </w:r>
      <w:r>
        <w:t>https://mcp.opencaselaw.ch/entscheid/bvger_E-6437_2017</w:t>
      </w:r>
    </w:p>
    <w:p>
      <w:r>
        <w:t>FR: TAF E-6437/2017 du 29 novembre 2017</w:t>
      </w:r>
    </w:p>
    <w:p>
      <w:r>
        <w:t>IT: TAF E-6437/2017 del 29 novembre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begründet und ist im Verfahren einzelrichterlicher Zuständigkeit mit Zustimmung einer zweiten Richterin (Art. 111 Bst. e AsylG), ohne Weiterungen und mit summarischer Begründung zu behandeln (Art. 111a Abs. 1 und 2 AsylG).</w:t>
      </w:r>
    </w:p>
    <w:p>
      <w:r>
        <w:rPr>
          <w:b/>
        </w:rPr>
        <w:t>E. 3</w:t>
      </w:r>
    </w:p>
    <w:p>
      <w:r>
        <w:t>Die Beschwerde enthält im Wesentlichen folgende formelle Rügen: Gehörsverletzung inklusive Akteneinsichtsrecht sowie Verletzung der Pflicht zur vollständigen und richtigen Abklärung des rechtserheblichen Sachverhaltes. Diese sind vorab zu prüfen, da sie zu einer Kassation der angefochtenen Verfügung führen können.</w:t>
      </w:r>
    </w:p>
    <w:p>
      <w:r>
        <w:rPr>
          <w:b/>
        </w:rPr>
        <w:t>E. 4.1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Auf Beschwerdeebene wird zum rechtlichen Gehör unter anderem gerügt, aus den Asylakten und dem Aktenverzeichnis gehe nicht hervor, ob und inwiefern die Vorinstanz die Asylverfahrensakten der Verwandten des Beschwerdeführers beigezogen und berücksichtigt habe.</w:t>
      </w:r>
    </w:p>
    <w:p>
      <w:r>
        <w:rPr>
          <w:b/>
        </w:rPr>
        <w:t>E. 4.3</w:t>
      </w:r>
    </w:p>
    <w:p>
      <w:r>
        <w:t>Der Beizug konnexer Akten sowie deren Prüfung und Resultate müssen aktenkundig sein und im Asylentscheid Niederschlag finden (E-4122/2016 E. 6.2.4). Aus den vorinstanzlichen Akten ist nicht ersichtlich, ob die Vorinstanz für den vorliegenden Asylentscheid die Asylverfahrensakten der Verwandten des Beschwerdeführers tatsächlich beigezogen hat. Der Beschwerdeführer macht insbesondere Reflexverfolgung geltend. Mehrere seiner Verwandten haben in der Schweiz bereits erfolgreich ein Asylverfahren durchlaufen. Vor diesem Hintergrund genügt es nicht, den Beizug von Asylakten lediglich im Sachverhalt zu erwähnen, ohne auf diese in den Erwägungen einzugehen. Stattdessen müsste der Beizug auch seinen Niederschlag im Asylentscheid - nicht nur im Sachverhalt und in allgemeinen Erwägungen zur Reflexverfolgung - respektive vorgängig im Rahmen der Gewährung des rechtlichen Gehörs finden, dies mittels Erwähnung des erfolgten Beizugs sowie der Mitteilung und Begründung des Beizugsergebnisses. Die entsprechende Rüge ist mithin begründet und das rechtliche Gehör verletzt.</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5.2</w:t>
      </w:r>
    </w:p>
    <w:p>
      <w:r>
        <w:t>Auf Beschwerdeebene wird betreffend Sachverhaltsfeststellung unter anderem gerügt, die Vorinstanz habe es unterlassen, zu den eingereichten Beweismitteln (die eindeutige Dossier-Nummern enthalten würden) und insbesondere zum Vorliegen eines Datenblattes eine Botschaftsabklärung in Auftrag zu geben.</w:t>
      </w:r>
    </w:p>
    <w:p>
      <w:r>
        <w:rPr>
          <w:b/>
        </w:rPr>
        <w:t>E. 5.3</w:t>
      </w:r>
    </w:p>
    <w:p>
      <w:r>
        <w:t>Vor dem Hintergrund, dass bei Asylsuchenden aus der Türkei, bei denen ein politisches Datenblatt besteht, in der Regel bereits aufgrund dieser Fichierung von einer begründeten Furcht vor künftiger asylrechtlich relevanter Verfolgung auszugehen ist (BVGE 2010/9 E. 5), genügt es nicht - wie vorliegend - als Anmerkung und nur in vier Sätzen lediglich "Zweifel am Bestehen eines Datenblattes" anzubringen (angefochtene Verfügung, S. 9). Die Vorinstanz erschöpft sich insoweit in rein oberflächlichen Vermutungen. Aufgrund der Vorbringen des Beschwerdeführers und insbesondere aufgrund der eingereichten Beweismittel (Oberstaatsanwaltschaft/Strafgericht bzw. Gerichtsverfahren, die von der Vorinstanz nicht in Abrede gestellt werden, angefochtene Verfügung, S. 6) kann die Existenz eines Datenblattes nicht ausgeschlossen werden, weshalb diesbezüglich weitere Abklärungen notwendig sind. Mithin hat die Vorinstanz den Sachverhalt unvollständig festgestellt.</w:t>
      </w:r>
    </w:p>
    <w:p>
      <w:r>
        <w:rPr>
          <w:b/>
        </w:rPr>
        <w:t>E. 6</w:t>
      </w:r>
    </w:p>
    <w:p>
      <w:r>
        <w:t>Nach dem Gesagten liegen eine mangelhafte Sachverhaltsfeststellung und eine Verletzung des Anspruchs auf rechtliches Gehör in Form eines nicht nachvollziehbaren Aktenbeizuges vor, die angesichts der geltend gemachten Reflexverfolgung von zentraler Bedeutung sind. Auf die übrigen Rügen ist somit nicht weiter einzugehen.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Im vorliegenden Fall ist die Sache an das SEM zurückzuweisen, zumal die Erstellung des Sachverhalts weiterer Abklärungen bedarf.</w:t>
      </w:r>
    </w:p>
    <w:p>
      <w:r>
        <w:rPr>
          <w:b/>
        </w:rPr>
        <w:t>E. 8</w:t>
      </w:r>
    </w:p>
    <w:p>
      <w:r>
        <w:t>Die Beschwerde ist gutzuheissen und die vorinstanzliche Verfügung vom 31. Oktober 2017 in Anwendung von Art. 61 Abs. 1 in fine VwVG zur vollständigen und richtigen Sachverhaltsermittlung und Neubeurteilung im Sinne der Erwägungen an die Vorinstanz zurückzuweisen. Hiermit werden die übrigen Beschwerdeanträge gegenstandslos.</w:t>
      </w:r>
    </w:p>
    <w:p>
      <w:r>
        <w:rPr>
          <w:b/>
        </w:rPr>
        <w:t>E. 9.1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2'370.-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