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E-6433/2019 vom 19. März 2020</w:t>
      </w:r>
    </w:p>
    <w:p>
      <w:r>
        <w:t>Bundesverwaltungsgericht, 2020-03-19, DE</w:t>
      </w:r>
    </w:p>
    <w:p>
      <w:r>
        <w:rPr>
          <w:b/>
        </w:rPr>
        <w:t xml:space="preserve">Quelle: </w:t>
      </w:r>
      <w:r>
        <w:t>https://mcp.opencaselaw.ch/entscheid/bvger_E-6433_2019</w:t>
      </w:r>
    </w:p>
    <w:p>
      <w:r>
        <w:t>FR: TAF E-6433/2019 du 19 mars 2020</w:t>
      </w:r>
    </w:p>
    <w:p>
      <w:r>
        <w:t>IT: TAF E-6433/2019 del 19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nachfolgender Einschränkung - einzutreten.</w:t>
      </w:r>
    </w:p>
    <w:p>
      <w:r>
        <w:rPr>
          <w:b/>
        </w:rPr>
        <w:t>E. 1.5</w:t>
      </w:r>
    </w:p>
    <w:p>
      <w:r>
        <w:t>Dem Beschwerdeführer wurde im Rahmen der Zwischenverfügung vom 17. Dezember 2019 antragsgemäss das ordentliche Spruchgremium bekanntgegeben. Auf den in Ziffer 1 der Rechtsbegehren gestellten weitergehenden Antrag, das Bundesverwaltungsgericht habe zu bestätigen, dass die mit der Behandlung der Sache betrauten Gerichtspersonen tatsächlich zufällig ausgewählt worden seien, ist unter Verweis auf die einschlägige Rechtsprechung nicht einzutreten (vgl. Teilurteil D-1549/2017 des BVGer vom 2. Mai 2018 E. 4 [zur Publikation vorgesehen] und E-1526/2017 vom 26. April 2017 E. 4.1-4.3). Daran ändert auch der Hinweis des Rechtsanwalts auf das Urteil 12T_3/2018 des Bundesgerichts vom 22. Mai 2018 nichts. Denn in diesem hatte das Bundesgericht einer Aufsichtsanzeige des rubrizierten Anwalts im Wesentlichen mit der Begründung, der Spruchkörper werde durch das Bundesverwaltungsgericht gestützt auf ein EDV-Programm grundsätzlich zufällig und auch sonst nach objektiven Kriterien bestimmt (vgl. a.a.O. E. 2.4.3), keine Folge gegeben. Es besteht daher keine Veranlassung, von der Rechtsprechung in erwähntem Teilurteil D-1549/2017 abzuweichen.</w:t>
      </w:r>
    </w:p>
    <w:p>
      <w:r>
        <w:rPr>
          <w:b/>
        </w:rPr>
        <w:t>E. 2</w:t>
      </w:r>
    </w:p>
    <w:p>
      <w:r>
        <w:t>Auf einen Schriftenwechsel wurde vorliegend in Anwendung von Art. 111a Abs. 1 AsylG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5.1</w:t>
      </w:r>
    </w:p>
    <w:p>
      <w:r>
        <w:t>In der Beschwerde werden verschiedene formelle Rügen erhoben (Verletzung des rechtlichen Gehörs, Verletzung der Begründungspflicht und die unvollständige und unrichtige Abklärung des rechtserheblichen Sachverhalts). Diese sind vorab zu beurteilen, da sie allenfalls geeignet sein könnten, eine Kassation der erstinstanzlichen Verfügung zu bewirken (vgl. BVGE 2013/34 E. 4.2; Kölz/Häner/Bertschi, Verwaltungsverfahren und Verwaltungsrechtspflege des Bundes; 3. Aufl. 2013, Rz. 1043 ff. m.w.H.).</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Die 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BVGE 2007/30 E. 5.6). 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5.3</w:t>
      </w:r>
    </w:p>
    <w:p>
      <w:r>
        <w:t>Das SEM hat in der angefochtenen Verfügung erwogen, die Familienangehörigen (Vater und Bruder) des Beschwerdeführers hätten nicht glaubhaft machen können, dass sie nach ihrer Freilassung im Jahr 2018 noch Probleme mit den heimatlichen Behörden gehabt hätten. Der Beschwerdeführer habe daher keine begründete Furcht vor Verfolgung. Ob dieser Einschätzung, wonach das SEM mithin eine Reflexverfolgung verneint, gefolgt werden kann oder nicht, beschlägt die Frage der materiell-rechtlichen Würdigung des vom Beschwerdeführer (und seinen Familienangehörigen) vorgetragenen Sachverhalts und nicht etwa die Wahrung des formell-rechtlichen Anspruchs auf rechtliches Gehör. Die Rügen, das SEM habe aufgrund des Profils des Vaters und des Bruders eine allfällige Reflexverfolgung des Beschwerdeführers nicht geprüft, den Sachverhalt diesbezüglich ungenügend abgeklärt und damit zugleich die Begründungspflicht verletzt (vgl. Beschwerde S. 10 f.), erweisen sich damit als unbegründet. Die entsprechenden Anträge auf Rückweisung sind abzuweisen.</w:t>
      </w:r>
    </w:p>
    <w:p>
      <w:r>
        <w:rPr>
          <w:b/>
        </w:rPr>
        <w:t>E. 5.4</w:t>
      </w:r>
    </w:p>
    <w:p>
      <w:r>
        <w:t>In der Beschwerde wird durch den Rechtsanwalt moniert, das SEM habe mit keinem Wort eine Gefährdung des Beschwerdeführers bei seiner Rückkehr in den Iran erwähnt. Dies obwohl es dessen Haft als glaubhaft erachtet habe. Darin sei ebenfalls eine Verletzung der Begründungspflicht zu erkennen (vgl. Beschwerde S. 11). Der Rechtsanwalt verkennt damit, dass der Beschwerdeführer nie vorbrachte, er sei in Haft gewesen. Dieses Sachverhaltselement wurde vielmehr von seinem Bruder und seinem Vater vorgetragen. Der Rechtsvertreter hat wohl versehentlich die verschiedenen Sachverhaltsvorbringen der Familienmitglieder, die er vertritt, vermischt. Die Rüge der Verletzung der Begründungspflicht ist damit auch in diesem Punkt unbegründet.</w:t>
      </w:r>
    </w:p>
    <w:p>
      <w:r>
        <w:rPr>
          <w:b/>
        </w:rPr>
        <w:t>E. 5.5</w:t>
      </w:r>
    </w:p>
    <w:p>
      <w:r>
        <w:t>In der Beschwerde wird auf zwei Teilnahmen des Beschwerdeführers (zusammen mit seinen Eltern und seinem Bruder) an regimekritischen Aktionen im Jahre 2009 hingewiesen (vgl. Beschwerde S. 7). In diesem Zusammenhang wird unter Hinweis auf verschiedene Lageberichte zum Iran gerügt, das SEM habe diese aktuellen Berichte nicht berücksichtig und damit den Sachverhalt unvollständig abgeklärt (vgl. Beschwerde S. 8 f.). Zunächst sei der Rechtsanwalt darauf hingewiesen, dass er in seinen Ausführungen unter der Rubrik "Regimekritische Tätigkeiten und Inhaftierung von Oppositionellen im Iran" (vgl. Beschwerde S. 8 f.) unter anderem erwähnt, der Beschwerdeführer sei im (...)-Gefängnis gewesen und man habe versucht, ein Geständnis von ihm zu erlangen. Diese Sachverhaltselemente wurden indes nicht vom Beschwerdeführer, sondern von seinem Bruder sowie auch von seinem Vater vorgetragen. Der Rechtsanwalt vermischt - erneut - die teils unterschiedlichen Sachverhaltsvorbringen seiner Mandanten. Im Weiteren fällt auf, dass der Beschwerdeführer dem SEM gegenüber nie erwähnte, 2009 an regimekritischen Aktionen teilgenommen zu haben. Als er am Ende seiner Anhörung gefragt wurde, ob er alles habe sagen können, was für sein Asylgesuch wichtig sei, bejahte er dies (vgl. SEM Akte: [...]-15/9 [nachfolgend: A15/9], S. 5, F39). Demnach musste das SEM nicht davon ausgehen, der Beschwerdeführer, der aufgrund seiner Mitwirkungspflicht nach Art. 8 AsylG gehalten gewesen wäre, sämtliche relevanten Ereignisse dem SEM zu schildern, habe noch weitere Sachverhaltselemente vorzubringen. Bezeichnenderweise erwähnten weder seine Eltern noch sein Bruder im Rahmen ihrer Anhörungen die genannten Teilnahmen. Vielmehr brachten sie diese neuen Sachverhaltsvorbringen ebenfalls erst in ihren Beschwerdeeingaben vor. Wie aus den nachstehenden Erwägungen folgt, sind die Teilnahmen zudem als nachgeschoben und zugleich in flüchtlingsrechtlicher Hinsicht als offensichtlich nicht relevant zu erachten und ist ein politisches Profil zu verneinen. Eine unrichtige oder unvollständige Sachverhaltsermittlung des SEM liegt nicht vor, weshalb der entsprechende Antrag auf Rückweisung abzuweisen ist.</w:t>
      </w:r>
    </w:p>
    <w:p>
      <w:r>
        <w:rPr>
          <w:b/>
        </w:rPr>
        <w:t>E. 5.6</w:t>
      </w:r>
    </w:p>
    <w:p>
      <w:r>
        <w:t>Insoweit für den Fall einer materiellen Beurteilung durch das Gericht eine Frist zwecks Nachreichung von "weiteren" Beweismitteln beantragt wird (vgl. Beschwerde S. 12), ist dieser nicht näher begründete Antrag abzuweisen, zumal dazu - wie den nachstehenden Erwägungen zum Asyl- und Flüchtlingspunkt zu entnehmen ist - kein Anlass besteht. Gleichsam ist der bloss pauschal formulierte Antrag auf erneute Anhörung des Beschwerdeführers durch eine Fachperson unter Beizug eines Dolmetschers (vgl. Beschwerde S. 12) abzuweisen.</w:t>
      </w:r>
    </w:p>
    <w:p>
      <w:r>
        <w:rPr>
          <w:b/>
        </w:rPr>
        <w:t>E. 5.7</w:t>
      </w:r>
    </w:p>
    <w:p>
      <w:r>
        <w:t>Insgesamt erweisen sich die vom Rechtsanwalt erhobenen formellen Rügen als nicht stichhaltig. Die damit verbundenen Anträge auf Rückweisung und Beweisanträge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6.4</w:t>
      </w:r>
    </w:p>
    <w:p>
      <w:r>
        <w:t>Zur Begründung der angefochtenen Verfügung führte das SEM im Wesentlichen aus, der Beschwerdeführer habe erklärt, er habe - abgesehen von den von ihm geschilderten Schlägen vor dem Gefängnis - keine Probleme mit den iranischen Behörden gehabt. Sein Vater und Bruder hätten nicht glaubhaft machen können, dass sie nach ihrer Freilassung anfangs 2018 aus dem Gefängnis Schwierigkeiten mit den heimatlichen Behörden gehabt hätten. Der Beschwerdeführer habe daher keine begründete Furcht, in absehbarer Zeit mit beachtlicher Wahrscheinlichkeit von asylrelevanten Massnahmen betroffen zu werden. Er erfülle die Flüchtlingseigenschaft nicht.</w:t>
      </w:r>
    </w:p>
    <w:p>
      <w:r>
        <w:rPr>
          <w:b/>
        </w:rPr>
        <w:t>E. 6.5</w:t>
      </w:r>
    </w:p>
    <w:p>
      <w:r>
        <w:t>Wie vom SEM zu Recht gefolgert, sind die angeblich vom Beschwerdeführer erlittenen Schläge durch iranische Sicherheitskräfte vor dem (...)-Gefängnis aufgrund mangelnder Intensität im flüchtlingsrechtlichen Sinne als nicht relevant zu erachten. Ansonsten bringt er keine eigenen Fluchtgründe vor, sondern beruft sich auf eine vom Vater und Bruder aufgrund deren Inhaftierung und Verurteilung mögliche Reflexverfolgung. Dazu lässt sich einerseits feststellen, dass seine Angaben zur Freilassung und Verurteilung des Vaters und Bruders auffallend detailarm und damit unsubstantiiert ausgefallen sind (vgl. SEM A15/9 S. 5 F29). Insbesondere wurde aber mit Urteilen E-6502/2019 und E-6430/2019 vom heutigen Tag die Beschwerde der Eltern und des Bruders des Beschwerdeführers vollumfänglich abgewiesen. Darin kam das Gericht - wie das SEM - zum Schluss, dass weder der Vater noch der Bruder die von ihnen beschriebenen Probleme mit den iranischen Behörden vor der Ausreise anfangs 2018 hätten glaubhaft machen können. Die vom Vater erstmals auf Beschwerdeebene behauptete regimekritische Vorgeschichte erachtete es ungeachtet der Glaubhaftigkeit als nicht von Relevanz gemäss Art. 3 AsylG. Ein regimekritisches Profil des Vaters wurde verneint (vgl. a.a.O. E. 6.4.11). Zum gleichen Schluss gelangte das Gericht im Verfahren des Bruders (vgl. a.a.O. E. 6.4.11). Sowohl hinsichtlich der Eltern als auch des Bruders wurde durch das Bundesverwaltungsgericht damit erkannt, das SEM habe zu Recht deren Flüchtlingseigenschaft verneint. Eine, wie vom Beschwerdeführer sowohl bei der Vorinstanz als auch gegenüber dem Bundesverwaltungsgericht in der Hauptsache geltend gemachte Reflexverfolgung fällt damit nicht in Betracht. Was schliesslich die vom Beschwerdeführer erstmals auf Rechtsmittelebene erwähnte Teilnahme an politischen Aktionen im Jahre 2009 anbelangt ist - wie im Urteil des Vaters und Bruders - festzuhalten, dass erwähnte Ereignisse im Gesamtkontext als Konstrukt zwecks Erschaffung eines möglichen flüchtlingsrelevanten Profils des Beschwerdeführers (und seiner Familie) zu werten sind und damit als nachgeschoben erscheinen. Ungeachtet der Frage nach deren Glaubhaftigkeit kommt erwähnten Vorkommnissen aber ohnehin keine flüchtlingsrechtliche Relevanz zu. So hatte die angebliche Teilnahme zusammen mit den Eltern und dem Bruder an einer Demonstration und am Aschura-Fest im Jahr 2009 keine behördlichen Massnahmen zur Folge. In zeitlicher Hinsicht liegen sie zudem zu weit zurück. Sie waren mithin für die im November 2018 erfolgte Ausreise des Beschwerdeführers nicht massgeblich. Es kann demnach auch nicht davon gesprochen werden, der Beschwerdeführer sei aufgrund erwähnter Aktivitäten im Jahre 2009 im Fokus der iranischen Behörden gestanden. Der Beschwerdeführer weist demnach kein regimekritisches respektive in flüchtlingsrechtlicher Hinsicht massgebliches Profil auf. Es erübrigt sich daher, auf die der Beschwerde beigelegten Dokumente einzugehen, welche sich insbesondere zum Schicksal regimekritischer Personen sowie zur allgemeinen Lage im Iran äussern (vgl. Beilagen 3 bis 12 der Beschwerde).</w:t>
      </w:r>
    </w:p>
    <w:p>
      <w:r>
        <w:rPr>
          <w:b/>
        </w:rPr>
        <w:t>E. 6.6</w:t>
      </w:r>
    </w:p>
    <w:p>
      <w:r>
        <w:t>Das Bundesverwaltungsgericht stellt zusammenfassend fest, dass der Beschwerdeführer die Flüchtlingseigenschaft gemäss den Voraussetzungen von Art. 3 und 7 AsylG aus den soeben erwähnten Gründen nicht erfüllt, weshalb die Vorinstanz diese zu Recht verneinte und das Asylgesuch ablehnte.</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SEM wies in seiner angefochtenen Verfügung zutreffend darauf hin, dass das Prinzip des flüchtlingsrechtlichen Non-Refoulement lediglich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Iran ist demnach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Nachdem es dem Beschwerdeführer nicht gelungen ist, glaubhaft zu machen oder nachzuweisen, dass er bei einer Rückkehr ins Heimatland die Aufmerksamkeit der iranischen Behörden in einem flüchtlingsrechtlich relevanten Ausmass auf sich zu zieht, bestehen auch keine Anhaltspunkte dafür, ihm würde dort eine menschenrechtswidrige Behandlung drohen. Weder die allgemeine Menschenrechtssituation im Iran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allgemeine Situation im Heimatstaat des Beschwerdeführers ist nicht von einer landesweiten Situation von Krieg, Bürgerkrieg oder allgemeiner Gewalt geprägt. Wie die Vorinstanz zutreffend festhielt, erscheint auch in individueller Hinsicht eine Rückkehr des Beschwerdeführers in den Iran zumutbar. Der Beschwerdeführer ist jung, derzeit gesund und gut ausgebildet. In seiner Heimat hat er die (...) absolviert und war als (...) beruflich tätig und konnte so seinen Lebensunterhalt verdienen (vgl. A15/9 S. 3 F14 ff.). Er verfügt über zahlreiche Verwandte im Iran. Ausserdem wird er auf die Unterstützung seiner Eltern und seines Bruders zählen können, die mit ihm zusammen in die Heimat zurückkehren. Hinzukommt, dass ein Bruder der Mutter in der Schweiz lebt, womit sich die Familie - selbst wenn sie derzeit nicht mit ihm in Kontakt steht - im Bedarfsfall an diesen zwecks materieller Unterstützung wenden könnte. Insgesamt ist davon auszugehen, dass sich der Beschwerdeführer wieder im Iran wird integrieren und für seinen Lebensunterhalt wird aufkommen können. Der Vollzug der Wegweisung erweist sich daher nicht als unzumutbar. 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Mit vorliegendem Entscheid wird das nachträglich mit Schreiben vom 3. Januar 2020 gestellte Gesuch um Verzicht auf die Erhebung eines Kostenvorschusses gegenstandslos.</w:t>
      </w:r>
    </w:p>
    <w:p>
      <w:r>
        <w:rPr>
          <w:b/>
        </w:rPr>
        <w:t>E. 10</w:t>
      </w:r>
    </w:p>
    <w:p>
      <w:r>
        <w:t>Bei diesem Ausgang des Verfahrens wären die Kosten auf insgesamt Fr. 750.- festzusetzen (Art. 1-3 des Reglements vom 21. Februar 2008 über die Kosten und Entschädigungen vor dem Bundesverwaltungsgericht [VGKE, SR 173.320.2]). Da die Beschwerde indes - bei einer ex-ante Betrachtung - nicht als zum Vornherein aussichtslos bezeichnet werden kann und der Beschwerdeführer gemäss der am 3. Januar 2020 eingereichten Bestätigung bedürftig ist, ist ihm antragsgemäss die unentgeltliche Prozessführung (Art. 65 Abs. 1 VwVG) zu gewähren. Ihm sind somit keine Verfahrenskosten aufzuerlegen.</w:t>
      </w:r>
    </w:p>
    <w:p>
      <w:r>
        <w:rPr>
          <w:b/>
        </w:rPr>
        <w:t>E. 11</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dem Rechtsvertreter persönlich aufzuerlegen und auf Fr. 100.- festzusetzen (Art. 6 AsylG i.V.m. Art. 66 Abs. 3 BGG; vgl. auch Urteil des Bundesgerichts 5D_56/2018 vom 18. Juli 2018 E. 6; Urteil des BVGer E-5142/2018 vom 13. November 2018 E. 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