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E-6427/2006 vom 3. April 2008</w:t>
      </w:r>
    </w:p>
    <w:p>
      <w:r>
        <w:t>Bundesverwaltungsgericht, 2008-04-03, FR</w:t>
      </w:r>
    </w:p>
    <w:p>
      <w:r>
        <w:rPr>
          <w:b/>
        </w:rPr>
        <w:t xml:space="preserve">Quelle: </w:t>
      </w:r>
      <w:r>
        <w:t>https://mcp.opencaselaw.ch/entscheid/bvger_E-6427_2006</w:t>
      </w:r>
    </w:p>
    <w:p>
      <w:r>
        <w:t>FR: TAF E-6427/2006 du 3 avril 2008</w:t>
      </w:r>
    </w:p>
    <w:p>
      <w:r>
        <w:t>IT: TAF E-6427/2006 del 3 aprile 2008</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de la loi fédérale sur l'asile (LAsi, RS 142.31).</w:t>
      </w:r>
    </w:p>
    <w:p>
      <w:r>
        <w:rPr>
          <w:b/>
        </w:rPr>
        <w:t>E. 1.2</w:t>
      </w:r>
    </w:p>
    <w:p>
      <w:r>
        <w:t>Les recours qui étaient pendants devant la CRA au 31 décembre 2006 sont traités par le Tribunal administratif fédéral dans la mesure où il est compétent, le nouveau droit de procédure s'appliquant (art. 53 al. 2 LTAF).</w:t>
      </w:r>
    </w:p>
    <w:p>
      <w:r>
        <w:rPr>
          <w:b/>
        </w:rPr>
        <w:t>E. 1.3</w:t>
      </w:r>
    </w:p>
    <w:p>
      <w:r>
        <w:t>Les intéressés ont qualité pour recourir. Présenté dans la forme et les délais prescrits par la loi, le recours est recevable (art. 48ss PA).</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PA. La jurisprudence l'a cependant déduite de l'art. 66 PA, qui prévoit le droit de demander la révision des décisions et de l'art. 29 al. 1 et 2 de la Constitution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(cf. Jurisprudence et Informations de la Commission suisse de recours en matière d'asile [JICRA] 2003 no 17, consid. 2, p. 103-104).</w:t>
      </w:r>
    </w:p>
    <w:p>
      <w:r>
        <w:rPr>
          <w:b/>
        </w:rPr>
        <w:t>E. 3.1</w:t>
      </w:r>
    </w:p>
    <w:p>
      <w:r>
        <w:t>En l'espèce, les intéressés ont fait valoir une constatation incomplète des faits pertinents. Ils ont également remis en cause le caractère raisonnablement exigible de l'exécution du renvoi, au vu de l'état de santé de la recourante, ainsi que sa licéité, en raison des risques les menaçant en cas de retour au Vietnam.</w:t>
      </w:r>
    </w:p>
    <w:p>
      <w:r>
        <w:rPr>
          <w:b/>
        </w:rPr>
        <w:t>E. 3.2</w:t>
      </w:r>
    </w:p>
    <w:p>
      <w:r>
        <w:t>S'agissant du premier grief, les recourants n'ont en rien établi en quoi l'ODM aurait négligé de prendre en considération des faits utiles, et n'ont pas exposé concrètement en quoi ce reproche serait fondé ; ce dernier doit dès lors être rejeté.</w:t>
      </w:r>
    </w:p>
    <w:p>
      <w:r>
        <w:rPr>
          <w:b/>
        </w:rPr>
        <w:t>E. 3.3</w:t>
      </w:r>
    </w:p>
    <w:p>
      <w:r>
        <w:t>En ce qui concerne le caractère exigible de l'exécution du renvoi, le Tribunal rappelle que cette exécution, s'agissant des personnes atteintes dans leur santé, n'est exclue qu'à partir du moment où, en raison de l'absence de possibilités de soins essentiels dans leur pays d'origine ou de destination, leur état se dégraderait très rapidement au point de conduire d'une manière certaine à la mise en danger concrète de leur vie ou à une atteinte sérieuse, durable et notablement plus grave de leur intégrité physique ou psychique ; ainsi le retenait la juris-prudence rendue sous l'empire de l'ancienne loi fédérale du 26 mars 1931 sur le séjour et l'établissement des étrangers (aLSEE, RS 1 113), et qui reste valable aujourd'hui ; en effet, l'art. 83 al. 4 de la loi fédérale du 16 décembre 2005 sur les étrangers (LEtr, RS 142.20), qui a remplacé l'art. 14a al. 4 aLSEE, fait expressément référence à la "nécessité médicale" de nature à rendre l'exécution du renvoi inexigible. Selon cette jurisprudence (cf. Jurisprudence et informations de la Commission suisse de recours en matière d'asile [JICRA] 2003 no 24), l'état de santé de la personne intéressée ne saurait cependant servir à faire échec à une décision de renvoi au simple motif que l'infrastructure hospitalière et le savoir-faire médical prévalant en Suisse correspondent à un standard élevé non accessible dans le pays d'origine ou le pays tiers de résidence.</w:t>
      </w:r>
    </w:p>
    <w:p>
      <w:r>
        <w:rPr>
          <w:b/>
        </w:rPr>
        <w:t>E. 3.4</w:t>
      </w:r>
    </w:p>
    <w:p>
      <w:r>
        <w:t>Dans le cas d'espèce, l'existence d'un état dépressif chez la recourante, ainsi que d'une potentialité suicidaire, constituaient des éléments déjà connus (cf. le rapport médical du 19 novembre 2002, produit en procédure ordinaire). Toutefois, les données d'ordre médical apparues dans le cadre de la présente procédure de réexamen montrent une claire aggravation de l'état de santé de la recourante et peuvent être considérées comme un changement notable de circonstances. On doit en effet retenir qu'il existe aujourd'hui chez la recourante un risque suicidaire important dans l'hypothèse d'un retour au Vietnam, pas seulement en raison d'une éventuelle interruption du soutien psychothérapeutique qui lui est dispensé, mais aussi du seul fait de ce retour, puisque cette circonstance serait de nature à entraîner une grave décompensation dépressive et à cristalliser les angoisses de la recourante, qu'elles soient fondées ou non. Ce constat, déjà fait par les thérapeutes dans le rapport du 20 novembre 2003, a été confirmé par celui du 21 juillet 2006, celui du 17 juillet 2007 et, de façon plus claire encore, dans le rapport du 26 février 2008. Ce dernier rapport, qui confirme les précédents, insiste catégoriquement sur l'aggravation de l'état dépressif de l'intéressée et, corrélativement, du danger pressant de suicide dans le cas d'une exécution du renvoi. Ce danger peut être rattaché aux facteurs aggravants rappelés dans le rapport et, de manière plus générale, à l'effondrement dépressif majeur que connaît la recourante ; en effet, celle-ci en est arrivée à un épuisement de ses ressources psychiques, épuisement accentué par la durée de la procédure. On se trouve donc en présence d'un risque vital mis clairement en évidence par les thérapeutes. Dans cette mesure, on peut admettre que la question de la disponibilité du traitement indispensable à la recourante et de son accessibilité n'est pas décisive.</w:t>
      </w:r>
    </w:p>
    <w:p>
      <w:r>
        <w:rPr>
          <w:b/>
        </w:rPr>
        <w:t>E. 3.5</w:t>
      </w:r>
    </w:p>
    <w:p>
      <w:r>
        <w:t>En conséquence, le Tribunal ne pouvant se distancer sans motifs solides des conclusions des spécialistes qui, de manière réitérée, ont mis en garde contre le grave danger que pourrait entraîner un départ de Suisse pour l'intéressée, le prononcé de l'admission provisoire s'impose, vu les risques sérieux et indéniables que ferait courir un retour au Vietnam à la recourante.</w:t>
      </w:r>
    </w:p>
    <w:p>
      <w:r>
        <w:rPr>
          <w:b/>
        </w:rPr>
        <w:t>E. 3.6</w:t>
      </w:r>
    </w:p>
    <w:p>
      <w:r>
        <w:t>Dans ces conditions, la question de l'éventuelle illicéité de l'exécution du renvoi est maintenant sans portée (cf. JICRA 2006 no 6 cons. 4.2, p. 54-55). Néanmoins, eu égard aux multiples procédures engagées par les recourants et basées sur les risques qu'ils encouraient du fait des autorités vietnamiennes, le Tribunal se doit tout de même de constater que la vraisemblance de ces dangers n'a pas été établie jusqu'ici ; l'autorité de première instance a plusieurs fois statué dans ce sens, sans être contredite en procédure de recours. En outre, le seul élément nouveau fourni à l'appui des conclusions de la présente demande, à savoir le rapport précité de l'OSAR, n'est pas de nature à modifier cette appréciation : il ne se base que sur des considérations générales, sans référence expresse au cas des recourants, et considère implicitement comme avéré le récit du mari, alors que son manque de crédibilité a été relevé à plusieurs reprises ; de plus, il est douteux que les possibles difficultés des intéressés à se procurer un "ho khau" et les obstacles qu'ils pourraient, de ce fait, rencontrer dans leur vie quotidienne puissent être considérés comme un traitement contraire à l'art. 3 CEDH.</w:t>
      </w:r>
    </w:p>
    <w:p>
      <w:r>
        <w:rPr>
          <w:b/>
        </w:rPr>
        <w:t>E. 4</w:t>
      </w:r>
    </w:p>
    <w:p>
      <w:r>
        <w:t>Compte tenu de ce qui précède, la demande de réexamen doit être admise et la décision attaquée annulée. L'autorité de première instance est dès lors invitée à accorder l'admission provisoire à la recourante, ainsi qu'à son mari et à son enfant, en application du principe de l'unité de la famille (cf. JICRA 1995 no 24).</w:t>
      </w:r>
    </w:p>
    <w:p>
      <w:r>
        <w:rPr>
          <w:b/>
        </w:rPr>
        <w:t>E. 5.1</w:t>
      </w:r>
    </w:p>
    <w:p>
      <w:r>
        <w:t>Vu l'issue de la procédure, il n'y a pas lieu de percevoir de frais (art. 63 al.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Le Tribunal fixe le montant de l'indemnité, sur la base de la note de frais du 28 septembre 2007 (art. 14 al. 2 du règlement du 11 décembre 2006 concernant les frais, dépens et indemnités fixés par le Tribunal administratif fédéral [FITAF, RS 173.320.2]), d'un montant de Fr. 1525.- (non soumis à la TVA), et d'une estimation raisonnable des frais survenus depuis, à la somme globale de Fr. 1700.-.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