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E-6423/2019 vom 9. März 2021</w:t>
      </w:r>
    </w:p>
    <w:p>
      <w:r>
        <w:t>Bundesverwaltungsgericht, 2021-03-09, DE</w:t>
      </w:r>
    </w:p>
    <w:p>
      <w:r>
        <w:rPr>
          <w:b/>
        </w:rPr>
        <w:t xml:space="preserve">Quelle: </w:t>
      </w:r>
      <w:r>
        <w:t>https://mcp.opencaselaw.ch/entscheid/bvger_E-6423_2019</w:t>
      </w:r>
    </w:p>
    <w:p>
      <w:r>
        <w:t>FR: TAF E-6423/2019 du 9 mars 2021</w:t>
      </w:r>
    </w:p>
    <w:p>
      <w:r>
        <w:t>IT: TAF E-6423/2019 del 9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(aArt. 108 Abs. 1 AsylG sowie Art. 52 Abs. 1 VwVG)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im Wesentlichen mit der mangelnden Glaubhaftigkeit der Vorbringen des Beschwerdeführers. Zwischen der BzP und der Anhörung sei es zu erheblichen Widersprüchen in den protokollierten Aussagen gekommen. Insbesondere habe er die Auswirkungen des Tötungsdelikts auf ihn, die Gründe für die Schlägerei mit Angehörigen der Karuna-Gruppe und deren Verlauf sowie seine Beziehung zum CID jeweils gänzlich unterschiedlich dargestellt. Somit sei es dem Beschwerdeführer nicht gelungen, asylrelevante Verfolgungsmassnahmen bis zum Zeitpunkt seiner Ausreise glaubhaft zu machen. Ebenfalls nicht ersichtlich seien Risikofaktoren, die im Falle einer Rückkehr ein behördliches Interesse an ihm begründen würden.</w:t>
      </w:r>
    </w:p>
    <w:p>
      <w:r>
        <w:rPr>
          <w:b/>
        </w:rPr>
        <w:t>E. 5.2</w:t>
      </w:r>
    </w:p>
    <w:p>
      <w:r>
        <w:t>Zur Begründung seines Rechtsmittels führte der Beschwerdeführer im Wesentlichen aus, die Vorinstanz stütze sich bei der Beurteilung der Glaubhaftigkeit seiner Aussagen unrechtmässig zu wesentlichen Teilen auf die BzP. Einerseits seien zwischen den beiden Anhörungen rund zwei Jahre verstrichen, weshalb gewisse Veränderungen in der Erzählstruktur zu erwarten seien. Andererseits sei er während beiden Befragungen mehrfach unterbrochen und aufgefordert worden, sich auf das Wesentliche zu beschränken. Vor diesem Hintergrund würden seine Ausführungen an der BzP und der Anhörung keine substanziellen Widersprüche aufweisen und die von der Vorinstanz angeführten Ungereimtheiten seien problemlos erklärbar. Seit seiner Ausreise habe sich ausserdem die Situation in seinem Heimatland drastisch verändert. So sei der im November 2019 neu gewählte Präsident Gotabaya Rajapaksa von verschiedenen Seiten unterstützt worden, darunter auch von der Tamil United Freedom Party (TUFP), deren Vorsitzender und Gründer zugleich als Chef und Namensgeber der Karuna-Gruppe fungiere (vgl. oben Bst. B.b). Insofern sei anzunehmen, dass Karuna auch in der neuen Regierung eine wichtige Rolle spielen werde. Im Jahr 2018 habe er von der TUFP ein Schreiben erhalten, dass ihn unmissverständlich auffordere, Gotabaya Rajapaksa bei der Wahl zu unterstützen. Zu diesem Zeitpunkt habe er sich bereits im Ausland befunden aber die verantwortlichen Personen hätten seine fehlende Unterstützung mit Sicherheit zur Kenntnis genommen, weshalb sich seine Bedrohungslage verschärft habe. Abschliessend äusserte sich der Beschwerdeführer ausführlich zur flüchtlingsrechtlichen Relevanz seiner Asylgründe.</w:t>
      </w:r>
    </w:p>
    <w:p>
      <w:r>
        <w:rPr>
          <w:b/>
        </w:rPr>
        <w:t>E. 6.1</w:t>
      </w:r>
    </w:p>
    <w:p>
      <w:r>
        <w:t>Nach Prüfung sämtlicher Akten kommt das Bundesverwaltungsgericht zum Schluss, dass die Vorinstanz die Vorbringen des Beschwerdeführers zu Recht als unglaubhaft qualifiziert hat. Die Ausführungen in der Beschwerdeschrift vermögen den Erwägungen des SEM letztlich nichts Stichhaltiges entgegenzusetzen. Somit kann vorab auf die zutreffenden Erwägungen in der angefochtenen Verfügung verwiesen werden. Ergänzend hält das Bundesverwaltungsgericht Folgendes fest:</w:t>
      </w:r>
    </w:p>
    <w:p>
      <w:r>
        <w:rPr>
          <w:b/>
        </w:rPr>
        <w:t>E. 6.2</w:t>
      </w:r>
    </w:p>
    <w:p>
      <w:r>
        <w:t>Es trifft zwar zu, dass der Beschwerdeführer während der Schilderung seiner Asylgründe anlässlich der BzP unterbrochen, und zur Darlegung weiterer Einzelheiten auf die ausstehende Anhörung verwiesen wurde. Dennoch muss sich der Beschwerdeführer auf seine Aussagen anlässlich der BzP behaften lassen. Auch unter Berücksichtigung des geschilderten Ablaufs erscheinen seine protokollierten Angaben im Rahmen der BzP (insbesondere auch diejenigen vor der Unterbrechung) und der Anhörung - entgegen der entsprechenden Behauptung in der Beschwerde - derart abweichend, dass sie kaum miteinander zu vereinbaren sind.</w:t>
      </w:r>
    </w:p>
    <w:p>
      <w:r>
        <w:rPr>
          <w:b/>
        </w:rPr>
        <w:t>E. 6.2.1</w:t>
      </w:r>
    </w:p>
    <w:p>
      <w:r>
        <w:t>Erhebliche Widersprüche ergeben sich zunächst bezüglich des geltend gemachten Tötungsdelikts, bei welchem sein Dienstfahrrad Verwendung gefunden haben soll. Anlässlich der BzP brachte der Beschwerdeführer vor, er sei vom CID beschuldigt worden, an diesem Vorfall beteiligt gewesen zu sein, und deshalb immer wieder befragt worden (vgl. act. A4/11 7.01). Demgegenüber führte er während der Anhörung aus, er sei lediglich gefragt worden, ob er den Täter kenne (vgl. act. A19/22 F120). Unter Berücksichtigung seiner persönlichen Umstände habe das CID ihm anschliessend beschieden, die Sache werde einfach fallen gelassen (vgl. act. A19/22 F116). Abweichungen bestehen auch bezüglich des Opfers dieses Delikts. Während bei der BzP von einem Soldaten (Wachtposten eines Flüchtlingslagers; vgl. act. A4/11 7.01), die Rede war, war es anlässlich der Anhörung ein Sicherheitswärter eines Kulturzentrums (vgl. act. A19/22 F118). Zwar lag dieser Vorfall im Zeitpunkt der Anhörungen tatsächlich bereits über zehn Jahre zurück. Dennoch scheint der Beschwerdeführer dem Ereignis - jedenfalls anlässlich der Anhörung - ein gewisses Gewicht beizumessen, führt er doch seine Hilfeleistungen für das CID auf deren Nachsicht in diesem Vorfall zurück (vgl. act. A19/22 F115). Insofern scheint es sich um einen einschneidenden Moment gehandelt zu haben, weshalb sich die dargelegten Widersprüche nicht allein mit der seither verstrichenen Zeit rechtfertigen lassen (vgl. Beschwerde S. 6).</w:t>
      </w:r>
    </w:p>
    <w:p>
      <w:r>
        <w:rPr>
          <w:b/>
        </w:rPr>
        <w:t>E. 6.2.2</w:t>
      </w:r>
    </w:p>
    <w:p>
      <w:r>
        <w:t>Ebenfalls widersprüchlich ausgefallen sind die Angaben des Beschwerdeführers zur Ursache der geltend gemachten Behelligungen durch die Karuna-Gruppe. An der BzP berichtete er, seine Mitgliedschaft und sein Engagement bei diversen Organisationen und Vereinen sowie seine Treffen mit zahlreichen Personen im Rahmen seiner Arbeit in einem (...) hätten das Misstrauen der Regierung und weiterer Gruppierungen geweckt. Weil Personen ihn bei der Regierung und den mit ihr sympathisierenden Gruppen angeschwärzt hätten, habe die Karuna-Gruppe begonnen, ihn zu befragen und ihn insbesondere davor gewarnt, weiterhin Kontakte zu seinen Organisationen zu unterhalten (vgl. act. A4/11 7.01). Im Gegensatz hierzu schilderte der Beschwerdeführer anlässlich der Anhörung, die Karuna-Gruppe sei auf ihn aufmerksam geworden, weil sein Name auf einer Lohnliste des CID aufgeführt gewesen sei. Anschliessend hätten sie ihn dazu bewegen wollen, seine unzähligen Kontakte und sein Ansehen in der Bevölkerung zu nutzen, um in ihrem Sinn tätigen zu werden und ihnen insbesondere zu Wahlstimmen zu verhelfen (vgl. act. A19/22 F69 ff.). Die diesbezüglichen Ausführungen anlässlich der BzP lassen sich eindeutig nicht mit denjenigen in der Anhörung in Einklang bringen. Während dem Beschwerdeführer einmal sein ausgedehntes persönliches Netzwerk zum Vorwurf gemacht worden sein soll, soll sich die Karuna-Gruppe später zugunsten ihrer eigenen Interessen diesen Beziehungen bedient haben wollen. Im Übrigen gelang es dem Beschwerdeführer auch nicht plausibel zu machen, weshalb die Karuna-Gruppe ihn aufgrund seiner Weigerung, sie zu unterstützen, hätte töten wollen (vgl. act. A19/22 F135). Diesbezüglich wäre jedenfalls anzunehmen, dass die Karuna-Gruppe dadurch den gegenteiligen Effekt erreichen würde und sich die Kontakte des Beschwerdeführers eben gerade nicht hinter die Gruppe stellen würden.</w:t>
      </w:r>
    </w:p>
    <w:p>
      <w:r>
        <w:rPr>
          <w:b/>
        </w:rPr>
        <w:t>E. 6.2.3</w:t>
      </w:r>
    </w:p>
    <w:p>
      <w:r>
        <w:t>Schliesslich ist der Vorinstanz auch darin zuzustimmen, dass sich Unstimmigkeiten im Hinblick auf die Beziehungen des Beschwerdeführers zum CID ergeben. Anlässlich der BzP werden Hilfeleistungen für Angehörige des CID (insbesondere organisatorischer Natur) nicht ansatzweise erwähnt. Im Gegenteil machte er geltend, es sei ständig zu Problemen mit dem CID und Unbekannten gekommen (vgl. act. A4/11 7.01). Dies ist umso erstaunlicher als im Rahmen der Anhörung die Zusammenarbeit mit dem CID als Auslöser für die Probleme mit der Karuna-Gruppe dargestellt werden (vgl. act A19/22 F86). Das CID seinerseits sei ihm bei diesen Problemen lediglich nicht behilflich gewesen, habe ihn aber auch nicht zusätzlich bedrängt (vgl. act. A19/22 F78). Zwar kann dem Beschwerdeführer nicht zum Vorwurf gemacht werden, dass er die zweimaligen Besuche der Karuna-Gruppe während der BzP nicht ausdrücklich erwähnt hat. Dennoch erscheinen die Darstellungen des Beschwerdeführers zu den letztlich fluchtauslösenden Ereignissen nicht stimmig. So entsteht bei der BzP der Eindruck, es sei von verschiedenen Seiten (Karuna-Gruppe, CID, Unbekannte) Druck auf den Beschwerdeführer ausgeübt worden, weshalb seine Familie ihm schliesslich zur Ausreise geraten habe (vgl. act. A4/11 7.01). Demgegenüber führt der Beschwerdeführer seine Ausreise bei der Anhörung auf die beiden Besuche der Karuna-Gruppe und seine Furcht vor deren Gewaltpotenzial zurück (vgl. act. A19/22 F64).</w:t>
      </w:r>
    </w:p>
    <w:p>
      <w:r>
        <w:rPr>
          <w:b/>
        </w:rPr>
        <w:t>E. 6.2.4</w:t>
      </w:r>
    </w:p>
    <w:p>
      <w:r>
        <w:t>An dieser Einschätzung vermag auch das auf Beschwerdeebene eingereichte Schreiben der Tamil United Freedom Front nichts zu ändern. Das Schreiben ist nicht geeignet, die geltend gemachte Bedrohung seitens der Karuna-Gruppe zu untermauern. Vielmehr erscheint es als allgemeiner Aufruf, bei den damals bevorstehenden Wahlen Gotabaya Rajapaksa zu unterstützen ohne jedoch Konsequenzen für den Unterlassungsfall oder Ähnliches anzudrohen. Mit Ausnahme der Adresszeile weist das Schreiben ausserdem keinerlei persönlichen Bezug zum Beschwerdeführer oder dessen geltend gemachten Vorbringen auf. Letztlich geht aus der Beschwerde auch nicht hervor, weshalb der Beschwerdeführer das Schreiben nicht bereits im Laufe des erstinstanzlichen Asylverfahrens eingereicht hat oder unter welchen Umständen er zu diesem Schreiben gekommen ist.</w:t>
      </w:r>
    </w:p>
    <w:p>
      <w:r>
        <w:rPr>
          <w:b/>
        </w:rPr>
        <w:t>E. 6.2.5</w:t>
      </w:r>
    </w:p>
    <w:p>
      <w:r>
        <w:t>Abschliessend ist festzuhalten, dass der Beschwerdeführer auch aus dem durchaus bedauerlichen Vorfall mit seiner Tochter nach seiner Ausreise (diese sei von einem unbekannten Motorradfahrer bedrängt und behelligt worden und habe als Reaktion auf den bestürzenden Übergriff ihre Schulbildung beendet; vgl. act. A19/22 F102 f.) für sein Asylverfahren nichts zu seinen Gunsten ableiten kann. Die Mutmassungen des Beschwerdeführers, wonach ein Zusammenhang zwischen seinen - wie dargestellt als unglaubhaft zu qualifizierenden - Problemen mit der Karuna-Gruppe und dem Angriff auf seine Tochter bestehe, vermögen nicht zu überzeugen (vgl. act. A19/22 F103, F105).</w:t>
      </w:r>
    </w:p>
    <w:p>
      <w:r>
        <w:rPr>
          <w:b/>
        </w:rPr>
        <w:t>E. 6.3</w:t>
      </w:r>
    </w:p>
    <w:p>
      <w:r>
        <w:t>Unter diesen Umständen kann auf eine Auseinandersetzung mit den Ausführungen in der Beschwerde zur Frage der flüchtlingsrechtlichen Relevanz der Vorbringen unterbleiben (vgl. Beschwerde S. 7 ff.).</w:t>
      </w:r>
    </w:p>
    <w:p>
      <w:r>
        <w:rPr>
          <w:b/>
        </w:rPr>
        <w:t>E. 6.4</w:t>
      </w:r>
    </w:p>
    <w:p>
      <w:r>
        <w:t>Die Vorinstanz kam zu Recht zum Schluss, dass der Beschwerdeführer keine Risikofaktoren im Sinn der bundesverwaltungsgerichtlichen Rechtsprechung aufweist (vgl. Referenzurteil des BVGer E-1866/2015 vom 15. Juli 2016) und somit im Fall einer Rückkehr auch unter diesem Blickwinkel keine begründete Furcht vor zukünftiger Verfolgung anzunehmen ist.</w:t>
      </w:r>
    </w:p>
    <w:p>
      <w:r>
        <w:rPr>
          <w:b/>
        </w:rPr>
        <w:t>E. 7</w:t>
      </w:r>
    </w:p>
    <w:p>
      <w:r>
        <w:t>Zusammenfassend ist festzuhalten, dass der Beschwerdeführer aufgrund des Dargelegten die Flüchtlingseigenschaft nicht erfüllt und das SEM sein Asylgesuch zu Recht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nachweisen oder glaubhaft machen, dass ihm im Fall einer Rückschiebung Folter oder unmenschliche Behandlung drohen würde (vgl. Urteil des EGMR Saadi gegen Italien 28. Februar 2008, Grosse Kammer 37201/06, §§ 124-127 m.w.H.).</w:t>
      </w:r>
    </w:p>
    <w:p>
      <w:r>
        <w:rPr>
          <w:b/>
        </w:rPr>
        <w:t>E. 9.2.4</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9.2.5</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und der vom Beschwerdeführer erwähnten Gefahr, als zurückkehrender Tamile am Flughafen Verhören ausgesetzt zu werden. Nach einer eingehenden Analyse der sicherheitspolitischen Lage in Sri Lanka ist das Bundesverwaltungsgericht zum Schluss gekommen, dass der Wegweisungsvollzug in die Herkunftsregion des Beschwerdeführers zumutbar ist, wenn das Vorliegen der individuellen Zumutbarkeitskriterien bejaht werden kann (vgl. Urteil E-1866/2015 vom 15. Juli 2016 E. 13.4 und seitherige Rechtsprechung).</w:t>
      </w:r>
    </w:p>
    <w:p>
      <w:r>
        <w:rPr>
          <w:b/>
        </w:rPr>
        <w:t>E. 9.3.3</w:t>
      </w:r>
    </w:p>
    <w:p>
      <w:r>
        <w:t>Die vom Beschwerdeführer erwähnten politischen Entwicklungen, namentlich die Präsidentschaftswahl im Jahr 2019, lassen keine andere Einschätzung zu.</w:t>
      </w:r>
    </w:p>
    <w:p>
      <w:r>
        <w:rPr>
          <w:b/>
        </w:rPr>
        <w:t>E. 9.3.4</w:t>
      </w:r>
    </w:p>
    <w:p>
      <w:r>
        <w:t>In Bezug auf das Vorliegen individueller Zumutbarkeitskriterien kann mit Verweis auf die Akten festgehalten werden, dass der Beschwerdeführer auf eine gute Schul- und Berufsausbildung sowie umfangreiche Berufs-erfahrung verfügt. An seinem Herkunftsort kann er ausserdem auf ein tragfähiges familiäres und soziales Beziehungsnetz zurückgreifen. Insofern ist davon auszugehen, dass es dem Beschwerdeführer durchaus möglich ist, sich wieder eine Existenz aufzubauen. Die geltend gemachten Rückenprobleme (vgl. Arztbericht vom 26. Juni 2018; Beweismittel 14) stehen einem Vollzug der Wegweisung ebenfalls nicht entgegen. Auch angesichts der jüngsten politischen Geschehnisse herrscht keine gänzlich unsichere, von bewaffneten Konflikten oder anderen unberechenbaren Unruhen dominierte Lage im Heimatstaat, aufgrund derer Rückkehrer unabhängig ihres individuellen Hintergrunds konkret gefährdet sind. An dieser Einschätzung vermag auch der Machtwechsel mit der erfolgten Präsidentschaftswahl vom 16. November 2019 nichts zu ändern.</w:t>
      </w:r>
    </w:p>
    <w:p>
      <w:r>
        <w:rPr>
          <w:b/>
        </w:rPr>
        <w:t>E. 9.3.5</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Für die subeventuell beantragte Rückweisung der Sache an die Vorinstanz besteht keine Veranlassung.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Deckung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