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E-6423/2016 vom 26. Oktober 2016</w:t>
      </w:r>
    </w:p>
    <w:p>
      <w:r>
        <w:t>Bundesverwaltungsgericht, 2016-10-26, DE</w:t>
      </w:r>
    </w:p>
    <w:p>
      <w:r>
        <w:rPr>
          <w:b/>
        </w:rPr>
        <w:t xml:space="preserve">Quelle: </w:t>
      </w:r>
      <w:r>
        <w:t>https://mcp.opencaselaw.ch/entscheid/bvger_E-6423_2016</w:t>
      </w:r>
    </w:p>
    <w:p>
      <w:r>
        <w:t>FR: TAF E-6423/2016 du 26 octobre 2016</w:t>
      </w:r>
    </w:p>
    <w:p>
      <w:r>
        <w:t>IT: TAF E-6423/2016 del 26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und 5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das Übernahmeersuchen der Schweiz gutgeheissen. Die Zuständigkeit zur Durchführung des Asyl- und Wegweisungsverfahrens liege somit bei Italien. Angesichts der konkreten, überprüfbaren und somit justiziablen Informationen hinsichtlich der Unterbringung würden dem SEM keine Informationen vorliegen, welche darauf hindeuten, dass Italien nicht in der Lage sein werde, die Beschwerdeführenden und ihre Kinder gemeinsam in einer dem Alter der Kinder gerecht werdenden Struktur aufzunehmen. Hinweise, dass die Beschwerdeführenden und ihre Kinder gravierenden Menschenrechtsverletzungen im Sinne von Art. 3 EMRK ausgesetzt wären, würden keine vorliegen. Systemische Mängel würden in Italiens Asyl- und Aufnahmesystem auch keine vorliegen. Im Hinblick auf den medizinischen Zustand der Beschwerdeführerin und ihres Sohnes gäbe es keinen Grund für die Annahme, dass eine Überstellung nach Italien ein Verstoss gegen Art. 3 EMRK bedeuten würde. Für einen Selbsteintritt der Schweiz gebe es keine Gründe.</w:t>
      </w:r>
    </w:p>
    <w:p>
      <w:r>
        <w:rPr>
          <w:b/>
        </w:rPr>
        <w:t>E. 4.2</w:t>
      </w:r>
    </w:p>
    <w:p>
      <w:r>
        <w:t>Die Beschwerdeführenden wenden dagegen ein, es müsse geprüft werden, ob bei einer Gesamtwürdigung aller relevanten Umstände eine unmenschliche Behandlung und damit eine Verletzung von Art. 3 EMRK drohe. Es handle sich bei ihnen um höchst vulnerable Personen. Neben einer adäquaten Unterbringung müsse zwingend die benötigte medizinische Versorgung sichergestellt werden. Eine reine Information über die gesundheitlichen Vorbringen reiche nicht aus. Es brauche weitere Zusicherungen. Im italienischen Aufnahmesystem seien erhebliche Schwachstellen nicht von der Hand zu weisen. Diesbezüglich sei insbesondere auf den Bericht der Schweizerischen Flüchtlingshilfe vom August 2016 zu verweisen. Die Gesundheitsversorgung sei an den Erhalt der Gesundheitskarte geknüpft und diese wiederum an die Asylgesuchstellung. Je nach Region würden Tage bis Monate bis zur formellen Registrierung vergehen. Dies sei ein ernst zu nehmendes Hindernis in der nahtlosen Weiterbetreuung. Ein weiteres finanzielles Hindernis könne zudem der Selbstbehalt darstellen. Dies könne dazu führen, dass der Zugang zu medizinscher Versorgung nicht gewährleistet sei, insbesondere für Personen, welche nicht in einem SPRAR-Projekt untergebracht seien. Im Februar 2016 seien in Neapel lediglich 12 Plätze in SPRAR-Projekten frei gewesen. Mit erheblicher Wahrscheinlichkeit sei kein Platz für sie mehr frei. Zusammenfassend bestehe ein konkretes und ernsthaftes Risiko dafür, dass ihre Überstellung nach Italien gegen Art. 3 EMRK verstosse. Eventualiter sei die Sache an die Vor­instanz zurückzuweisen, da der relevante Sachverhalt nicht rechtsgenüglich erstellt sei. Insbesondere seien weitere Garantien einzuholen.</w:t>
      </w:r>
    </w:p>
    <w:p>
      <w:r>
        <w:rPr>
          <w:b/>
        </w:rPr>
        <w:t>E. 5.1</w:t>
      </w:r>
    </w:p>
    <w:p>
      <w:r>
        <w:t>Aus dem Eurodac-Datenblatt geht hervor, dass die Beschwerdeführenden am 30. Mai 2016 in Italien ihre Fingerabdrücke abgegeben haben. Die Vorinstanz ist somit in Anwendung von Art. 13 Abs. 1 Dublin-III-VO zutreffend von der grundsätzlichen Zuständigkeit Italiens für die Durchführung des Asyl- und Wegweisungsverfahrens ausgegangen.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5.2</w:t>
      </w:r>
    </w:p>
    <w:p>
      <w:r>
        <w:t>Die Beschwerdeführenden bringen vor, eine Überstellung nach Italien würde aufgrund des gesundheitlichen Zustandes der Beschwerdeführerin und ihres neugeborenen Sohnes einer Verletzung von Art. 3 EMRK gleichkommen. Zudem seien die Zusicherungen ungenügend. Insbesondere seien zusätzliche Zusicherungen bezüglich der benötigten Gesundheitsversorgung einzuholen.</w:t>
      </w:r>
    </w:p>
    <w:p>
      <w:r>
        <w:rPr>
          <w:b/>
        </w:rPr>
        <w:t>E. 5.2.1</w:t>
      </w:r>
    </w:p>
    <w:p>
      <w:r>
        <w:t>Das Bundesverwaltungsgericht hat gestützt auf das Tarakhel-Urteil des Europäischen Gerichtshofs für Menschenrechte (Urteil des EGMR Tarakhel gegen die Schweiz vom 4. November 2014 [Nr.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Mit Urteil D-6358/2015 vom 7. April 2016 wurde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Damit reichen die Zusicherungen (nucleo familiare mit Namensnennung und Altersangaben und Verweis auf das Rundschreiben vom 8. Juni 2015) aus. Da den Beschwerdeführenden eine Unterbringung in einem SPRAR-Projekt zugesichert wurde, ist auf die diesbezüglichen Ausführungen in der Beschwerde nicht weiter einzugehen. Für die Einholung weiterer Zusicherungen besteht unter Verweis auf die zitierte Rechtsprechung kein Anlass. Die Überstellung der Beschwerdeführenden ist unter diesem Gesichtspunkt zulässig.</w:t>
      </w:r>
    </w:p>
    <w:p>
      <w:r>
        <w:rPr>
          <w:b/>
        </w:rPr>
        <w:t>E. 5.2.2</w:t>
      </w:r>
    </w:p>
    <w:p>
      <w:r>
        <w:t>Eine zwangsweise Rückweisung von Personen mit gesundheitlichen Problemen stellt nur dann einen Verstoss gegen Art. 3 EMRK dar, wenn die betroffene Person sich in einem fortgeschrittenen oder terminalen Krankheitsstadium und bereits in Todesnähe befindet (vgl. BVGE 2011/9 E. 7 mit Hinweisen auf die Praxis des EGMR), was weder bei der Beschwerdeführerin noch bei ihrem Sohn der Fall ist. Aus dem aktuellsten Arztbericht der Beschwerdeführerin vom 23. August 2016 geht hervor, dass von einer momentanen Stabilisierung auszugehen sei, die weitere Betreuung gestalte sich dennoch sehr komplex. AIDS-definierte Erkrankungen seien bislang keine aufgetreten. Im E-Mail vom 26. August 2016 führt der behandelnde Arzt ergänzend aus, dass die Therapie kurzfristig angepasst worden sei und kurzfristige Kontrollen notwendig seien. Im Falle einer unvorhergesehenen Verschlechterung des Zustandes sei das Auftreten von lebensgefährlichen Infektionen möglich. Bezüglich des Sohnes wird im Arztbericht vom 16. September 2016 festgehalten, es gäbe keine medizinischen Probleme. Der Säugling sei in einem guten Allgemeinzustand und HIV negativ getestet. Er müsse im Alter von 6, 12 und 24 Monaten nachkontrolliert werden. Weder die Beschwerdeführerin noch ihr Sohn befinden sich demnach in einem fortgeschrittenen oder terminalen Krankheitsstadium und bereits in Todesnähe.</w:t>
      </w:r>
    </w:p>
    <w:p>
      <w:r>
        <w:rPr>
          <w:b/>
        </w:rPr>
        <w:t>E. 5.2.3</w:t>
      </w:r>
    </w:p>
    <w:p>
      <w:r>
        <w:t>Art. 32 Abs. 1 Dublin-III-VO verpflichtet den überstellenden Mitgliedstaat dem zuständigen Mitgliedstaat Informationen über besondere Bedürfnisse der zu überstellenden Person zu übermitteln. Aus der angefochtenen Verfügung geht hervor, dass die schweizerischen Behörden die nötigen Informationen an die italienischen Behörden zu übermitteln planen. Dabei handelt es sich um eine reine Überstellungsmodalität.</w:t>
      </w:r>
    </w:p>
    <w:p>
      <w:r>
        <w:rPr>
          <w:b/>
        </w:rPr>
        <w:t>E. 5.2.4</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Dafür, dass Italien den Beschwerdeführenden eine adäquate medizinische Behandlung verweigern würde, gibt es keine Hinweise. Einer nahtlosen Weiterbehandlung der Beschwerdeführerin und ihres Sohnes steht nach der Asylgesuchstellung in Italien nichts im Weg.</w:t>
      </w:r>
    </w:p>
    <w:p>
      <w:r>
        <w:rPr>
          <w:b/>
        </w:rPr>
        <w:t>E. 5.2.5</w:t>
      </w:r>
    </w:p>
    <w:p>
      <w:r>
        <w:t>Es liegen keine Anhaltspunkte dafür vor, dass Italien im vorliegenden Fall seine staatsvertraglichen Verpflichtungen missachten würde und die Beschwerdeführenden und ihre Kinder einer menschenunwürdigen oder erniedrigenden Behandlung ausgesetzt wäre (Art. 3 EMRK). Aus den eingereichten E-Mails können die Beschwerdeführenden nichts zu ihren Gunsten ableiten.</w:t>
      </w:r>
    </w:p>
    <w:p>
      <w:r>
        <w:rPr>
          <w:b/>
        </w:rPr>
        <w:t>E. 5.3</w:t>
      </w:r>
    </w:p>
    <w:p>
      <w:r>
        <w:t>Die Vorinstanz ist somit zutreffend von der Zuständigkeit Italiens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Für eine Rückweisung der Sache an die Vorinstanz besteht nach dem Gesagten kein Anlass. Die Beschwerde ist abzuweisen. Die Gesuche um Gewährung der aufschiebenden Wirkung und Vollzugsstopp sind mit dem vorliegenden Entscheid gegenstandslos geworden.</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 ihr Begehren als aussichtslos zu gelten hat, kann dem Gesuch um Gewährung der unentgeltlichen Prozessführung nicht stattgegeben werden.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