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E-6421/2015 vom 30. Juni 2017</w:t>
      </w:r>
    </w:p>
    <w:p>
      <w:r>
        <w:t>Bundesverwaltungsgericht, 2017-06-30, DE</w:t>
      </w:r>
    </w:p>
    <w:p>
      <w:r>
        <w:rPr>
          <w:b/>
        </w:rPr>
        <w:t xml:space="preserve">Quelle: </w:t>
      </w:r>
      <w:r>
        <w:t>https://mcp.opencaselaw.ch/entscheid/bvger_E-6421_2015</w:t>
      </w:r>
    </w:p>
    <w:p>
      <w:r>
        <w:t>FR: TAF E-6421/2015 du 30 juin 2017</w:t>
      </w:r>
    </w:p>
    <w:p>
      <w:r>
        <w:t>IT: TAF E-6421/2015 del 30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Über offensichtlich begründete Beschwerden wird in einzelrichterlicher Zuständigkeit mit Zustimmung eines zweiten Richters beziehungsweise einer zweiten Richterin entschieden (Art. 111 Bst. e AsylG). Die vorliegende Beschwerde erweist sich - insbesondere aufgrund der neu ergangenen Rechtsprechung des Bundesverwaltungsgerichts (Urteil D-7853/2015 vom 31. Mai 2017, vorgesehen zur Publikation als Referenzurteil) - im Urteilszeitpunkt als solche, weshalb der Beschwerdeentscheid nur summarisch zu begründen ist (Art. 111a Abs.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Kann kein Mitgliedstaat gemäss den aufgeführten Kriterien bestimmt werden, ist derjenige Staat zuständig, in welchem das erste Asylgesuch gestellt wurde (Art. 3 Abs. 2 Satz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Zur Begründung der angefochtenen Verfügung führte das SEM aus,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Ungarn für die Durchführung des Asylverfahrens (nach Art. 18 Abs. 1 Bst. b Dublin-III-VO) zuständig, zumal der - volljährige - Beschwerdeführer dort gemäss Eurodac am 1. August 2015 ein Asylgesuch gestellt habe und die ungarischen Behörden auf das Übernahmeersuchen des SEM nicht reagiert hätten. Es sei nicht Sache der betroffenen Person, den für ihr Asylverfahren wünschbar zuständigen Staat selber zu bestimmen. Ungarn sei Signatarstaat des Abkommens vom 28. Juli 1951 über die Rechtsstellung der Flüchtlinge (FK, SR 0.142.30) und der EMRK. Es lägen keine konkreten Anhaltspunkte vor, wonach das Land sich nicht an seine völkerrechtlichen Verpflichtungen halte und das Asyl- und Wegweisungsverfahren nicht korrekt durchführen würde. Ferner lägen keine vorab humanitären Gründe gemäss Art. 29a Abs. 3 AsylVO1 i.V.m. Art. 17 Abs. 1 Dublin-III-VO (Souveränitätsklausel) vor, die einen Selbsteintritt der Schweiz rechtfertigten. Die Wegweisung stelle die Regelfolge des Nichteintretensentscheides dar und der Wegweisungsvollzug sei zulässig, zumutbar und möglich. Die im Rahmen des rechtlichen Gehörs vom Beschwerdeführer gemachten Einwände begründeten keine andere Sichtweise.</w:t>
      </w:r>
    </w:p>
    <w:p>
      <w:r>
        <w:rPr>
          <w:b/>
        </w:rPr>
        <w:t>E. 4.2</w:t>
      </w:r>
    </w:p>
    <w:p>
      <w:r>
        <w:t>In seiner Rechtsmitteleingabe macht der Beschwerdeführer darauf aufmerksam, dass er nach seiner Aufgreifung in Ungarn in ein überfülltes Lager gebracht und unter Nahrungs- und Flüssigkeitsverweigerung zur Abgabe seiner Fingerabdrücke gezwungen worden sei. Weiter schildert er die aktuelle Situation betreffend das dortige Asylverfahren und die Aufnahmebedingungen, welche von erheblichen Mängeln geprägt seien. Die Zustände im ungarischen Asylwesen seien katastrophal, menschenrechtsverletzend und hätten sich durch die am 1. August 2015 beziehungsweise am 15. September 2015 in Kraft getretenen, im Widerspruch zu internationalen Verpflichtungen stehenden Gesetzesänderung weiter verschärft. Die anderslautenden Ausführungen des SEM überzeugten nicht, sondern basierten auf einer unvollständigen Sachverhaltsabklärung. Seine Rückführung nach Ungarn sei weder zulässig noch zumutbar. Als Beweismittel gab er eine Medienmitteilung der Schweizerischen Flüchtlingshilfe (vom 25. September 2015) und einen Bericht des "Hungarian Helsinki Committee" (vom 18. September 2015) zu den Akten.</w:t>
      </w:r>
    </w:p>
    <w:p>
      <w:r>
        <w:rPr>
          <w:b/>
        </w:rPr>
        <w:t>E. 4.3</w:t>
      </w:r>
    </w:p>
    <w:p>
      <w:r>
        <w:t>In der Vernehmlassung sowie der Replik halten sowohl die Vorinstanz als auch der Beschwerdeführer im Ergebnis an ihren Standpunkten fest, wobei betreffend ihre detaillierten Ausführungen auf die Akten zu verweisen ist.</w:t>
      </w:r>
    </w:p>
    <w:p>
      <w:r>
        <w:rPr>
          <w:b/>
        </w:rPr>
        <w:t>E. 5.1</w:t>
      </w:r>
    </w:p>
    <w:p>
      <w:r>
        <w:t>Ein Abgleich der Fingerabdrücke des Beschwerdeführers mit der "Eurodac"-Datenbank ergab, dass dieser am 1. August 2015 in Ungarn ein Asylgesuch gestellt hatte. Die ungarischen Behörden liessen das Übernahmeersuchen des SEM innert der in Art. 25 Dublin-III-VO vorgesehenen Frist unbeantwortet, womit sie die Zuständigkeit Ungarns implizit anerkannten (Art. 25 Abs. 2 Dublin-III-VO). Dies wird vom Beschwerdeführer an sich auch nicht bestritten. Die Zuständigkeit Ungarns wäre somit insoweit gegeben.</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 Das Bundesverwaltungsgericht hat im bereits erwähnten Urteil D-7853/2015 vom 31. Mai 2017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 E. 13 des Urteils). Mit derselben Begründung ist es dem Gericht auch im vorliegenden Fall nicht möglich, die Vorbringen in der Beschwerde zu beurteilen. Die angefochtene Verfügung ist folglich aufzuheben und die Sache zur vollständigen Sachverhaltsfeststellung sowie zu neuer Entscheidung an die Vorinstanz zurückzuweisen. Die Beschwerdeakten bilden dabei ebenfalls Prozessstoff des wieder aufzunehmenden vorinstanzlichen Verfahrens. Die Beschwerde ist daher hinsichtlich des Kassationsantrages gutzuheissen. Es erübrigt sich, auf die weiteren Inhalte der Beschwerde, Vernehmlassung oder Replik näher einzugehen.</w:t>
      </w:r>
    </w:p>
    <w:p>
      <w:r>
        <w:rPr>
          <w:b/>
        </w:rPr>
        <w:t>E. 6</w:t>
      </w:r>
    </w:p>
    <w:p>
      <w:r>
        <w:t>Bei diesem Ausgang des Verfahrens sind keine Kosten zu erheben (Art. 63 Abs. 1 und 2 sowie Art. 65 Abs. 1 VwVG). Dem Beschwerdeführer wäre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Solche Kosten sind jedoch nicht ersichtlich, zumal der Beschwerdeführer nicht rechtvertreten ist. Es ist daher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