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E-6419/2013 vom 20. Mai 2014</w:t>
      </w:r>
    </w:p>
    <w:p>
      <w:r>
        <w:t>Bundesverwaltungsgericht, 2014-05-20, DE</w:t>
      </w:r>
    </w:p>
    <w:p>
      <w:r>
        <w:rPr>
          <w:b/>
        </w:rPr>
        <w:t xml:space="preserve">Quelle: </w:t>
      </w:r>
      <w:r>
        <w:t>https://mcp.opencaselaw.ch/entscheid/bvger_E-6419_2013</w:t>
      </w:r>
    </w:p>
    <w:p>
      <w:r>
        <w:t>FR: TAF E-6419/2013 du 20 mai 2014</w:t>
      </w:r>
    </w:p>
    <w:p>
      <w:r>
        <w:t>IT: TAF E-6419/2013 del 20 maggio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Gerichts. Eine das Sachgebiet betreffende Ausnahme im Sinne von Art. 32 VGG liegt nicht vor. Das Bundesverwaltungs­gericht ist daher für die Beurteilung der vorliegenden Beschwerde zuständig und entscheidet endgültig (Art. 105 AsylG [SR 142.31]; Art. 83 Bst. d Ziff. 1 BGG).</w:t>
      </w:r>
    </w:p>
    <w:p>
      <w:r>
        <w:rPr>
          <w:b/>
        </w:rPr>
        <w:t>E. 1.2</w:t>
      </w:r>
    </w:p>
    <w:p>
      <w:r>
        <w:t>Das Verfahren richtet sich nach dem VwVG, soweit das VGG oder das AsylG nichts anderes bestimmen (Art. 37 VGG; Art. 6 und 105 AsylG).</w:t>
      </w:r>
    </w:p>
    <w:p>
      <w:r>
        <w:rPr>
          <w:b/>
        </w:rPr>
        <w:t>E. 1.3</w:t>
      </w:r>
    </w:p>
    <w:p>
      <w:r>
        <w:t>Der Beschwerdeführer ist legitimiert (Art. 48 Abs. 1 VwVG) und hat seine Beschwerde gemäss Aktenlage fristgerecht bei der Schweizerischen Botschaft in Colombo eingereicht (Art. 108 Abs. 1 AsylG i.V.m. Art. 21 Abs. 1 VwVG). Die Beschwerde ist auch formgerecht (Art. 52 Abs. 1 VwVG). Auf die Beschwerde ist demnach einzutreten.</w:t>
      </w:r>
    </w:p>
    <w:p>
      <w:r>
        <w:rPr>
          <w:b/>
        </w:rPr>
        <w:t>E. 1.4</w:t>
      </w:r>
    </w:p>
    <w:p>
      <w:r>
        <w:t>Die Beschwerde erweist sich indes - wie nachfolgend aufgezeigt - als offensichtlich unbegründet, weshalb darüber in einzelrichterlicher Zuständigkeit mit Zustimmung eines zweiten Richters zu entscheiden ist (Art. 111 Bst. e AsylG). Auf die Durchführung eines Schriftenwechsels ist zu verzichten und der Beschwerdeentscheid nur summarisch zu begründen (Art. 111a Abs. 1 und 2 AsylG).</w:t>
      </w:r>
    </w:p>
    <w:p>
      <w:r>
        <w:rPr>
          <w:b/>
        </w:rPr>
        <w:t>E. 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Asylverfahren anzuwenden.</w:t>
      </w:r>
    </w:p>
    <w:p>
      <w:r>
        <w:rPr>
          <w:b/>
        </w:rPr>
        <w:t>E. 3</w:t>
      </w:r>
    </w:p>
    <w:p>
      <w:r>
        <w:t>Ein Asylgesuch kann gemäss aArt. 19 AsylG im Ausland bei einer Schweizerischen Vertretung gestellt werden, die es mit einem Bericht an das Bundesamt überweist (aArt.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dies ist vorliegend der Fall.</w:t>
      </w:r>
    </w:p>
    <w:p>
      <w:r>
        <w:rPr>
          <w:b/>
        </w:rPr>
        <w:t>E. 4.1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4.2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Nach Prüfung der Akten ist festzustellen, dass das BFM in seiner Verfügung vom 4. September 2013 den vom Beschwerdeführer geltend gemachten Sachverhalt in den wesentlichen Elementen korrekt erfasst hat. Es sind jedoch folgende Ergänzungen anzubringen. Eine direkte Begegnung mit zwei Unbekannten habe letztmals im November 2012 bei ihm zu Hause stattgefunden, wobei diese ihm vorgeworfen hätten, entgegen ihren Befehl weiterhin für die Hilfsorganisation gearbeitet zu haben. Auch hätten diese Leute ihn aufgefordert, ihnen jederzeit zur Verfügung zu stehen. Schliesslich hätten ihn die Unbekannten im April 2013 zu Hause aufgesucht, wobei er abwesend gewesen sei. Von Seiten seiner Angehörigen sei den unbekannten Leuten ausgerichtet worden, der Beschwerdeführer werde im Rahmen des Verfahrens des "ACF-Falles" benötigt. Zudem ist anzumerken, dass sich der Beschwerdeführer im Verlaufe des Jahres 2012 zwei weitere Male mit Anzeigen bei der Human Right Commission (HCR) gemeldet habe.</w:t>
      </w:r>
    </w:p>
    <w:p>
      <w:r>
        <w:rPr>
          <w:b/>
        </w:rPr>
        <w:t>E. 4.4</w:t>
      </w:r>
    </w:p>
    <w:p>
      <w:r>
        <w:t>Aus den nachfolgenden Gründen sind die Einschätzung und die Folgerungen des BFM in der angefochtenen Verfügung, wonach sich aus den wesentlichen Vorbringen des Beschwerdeführers keine aktuelle asylrelevante Gefährdungssituation ergebe, zu bestätigen. Es ist mit der in der angefochtenen Verfügung zutreffenden Feststellung hervorzuheben, dass die vom Beschwerdeführer geltend gemachten Bedrohungen und Aufforderungen von unbekannten Dritten ausgegangen sind. Das BFM hält richtig fest, dass Übergriffe Dritter nur dann einreiserelevant sind, wenn der Heimatstaat dafür entweder die Verantwortung trägt, indem er solche Handlungen anregt oder unterstützt oder unwillig und nicht in der Lage ist, entsprechend notwendigen Schutz zu gewähren. Der Beschwerdeführer macht nicht geltend, sich durch die Einschüchterungen oder Bedrohungen seitens der unbekannten Dritten einer Beihilfe oder Unterstützung für die LTTE in irgendeiner Form vereinnahmt lassen zu haben. Es ist demnach von der Schutzfähigkeit des sri-lankischen Staates auszugehen, weshalb die Möglichkeit besteht, bei allfälliger Notwendigkeit bei den zuständigen Behörden um Schutz vor Verfolgung seitens Dritter zu ersuchen. Der Beschwerdeführer hat denn auch keine konkreten Probleme mit den staatlichen Behörden seines Heimatlandes ernsthaft geltend gemacht. Vorliegend ergeben sich keine Anhaltspunkte auf eine Schutzunwilligkeit des srilankischen Staates. Auch im Zusammenhang mit dem Verfahren im Rahmen des "ACF-Massaker-Fall" sind aufgrund der Aktenlage offenkundig keine konkreten staatlichen Massnahmen gegen den Beschwerdeführer auszumachen. Die vom Beschwerdeführer im Verlaufe des Verfahrens geltend gemachten und in der Eingabe vom 19. März 2014 von ihm weiterhin vorgebrachten Bedrohungen seitens der sri-lankischen Behörden sind als deutlich überzeichnet zu beurteilen. Es sind aus der gesamten Aktenlage keine hinreichende Anhaltspunkte erkennbar, dass sich der Beschwerdeführer den von ihm vorgebrachten Bedrohungslage seitens der sri-lankischen Behörden ausgesetzt sehen müsste. 5.Somit kann der Beschwerdeführer keine aktuelle Gefährdung im Sinne von Art. 3 AsylG aufzuzeigen, welche die Bewilligung der Einreise in die Schweiz rechtfertigen würde. Die Schutzbedürftigkeit des Beschwerdeführers im Sinne von aArt. 20 i.V.m. Art. 3 AsylG ist nicht gegeben. Im Übrigen ist auch eine Beziehungsnähe des Beschwerdeführers zur Schweiz zu verneinen (aArt. 52 Abs. 2 AsylG). Das BFM hat dem Beschwerdeführer zu Recht die Einreise in die Schweiz nicht bewilligt und das Asylgesuch abgelehnt. 6.Aus diesen Erwägungen ergibt sich, dass die angefochtene Verfügung Bundesrecht nicht verletzt und den rechtserheblichen Sachverhalt richtig und vollständig feststellt (Art. 106 Abs. 1 AsylG). Die Beschwerde ist daher abzuweisen. 7.Bei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