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E-6419/2008 vom 12. November 2010</w:t>
      </w:r>
    </w:p>
    <w:p>
      <w:r>
        <w:t>Bundesverwaltungsgericht, 2010-11-12, DE</w:t>
      </w:r>
    </w:p>
    <w:p>
      <w:r>
        <w:rPr>
          <w:b/>
        </w:rPr>
        <w:t xml:space="preserve">Quelle: </w:t>
      </w:r>
      <w:r>
        <w:t>https://mcp.opencaselaw.ch/entscheid/bvger_E-6419_2008</w:t>
      </w:r>
    </w:p>
    <w:p>
      <w:r>
        <w:t>FR: TAF E-6419/2008 du 12 novembre 2010</w:t>
      </w:r>
    </w:p>
    <w:p>
      <w:r>
        <w:t>IT: TAF E-6419/2008 del 12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105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Beschwerdeschrift vom 9. Oktober 2008 wurde gerügt, die Vorinstanz sei in ihrer Verfügung vom 16. September 2008 auf we­sentliche Sachverhaltselemente nicht eingegangen, indem sie die Asylvorbringen des Vaters sowie diejenigen des Bruders des Be­schwerdeführers nicht miteinbezogen und damit eine Gefährdung des Beschwerdefüh­rers durch eine Reflexverfolgung überhaupt nicht er­wogen habe.</w:t>
      </w:r>
    </w:p>
    <w:p>
      <w:r>
        <w:rPr>
          <w:b/>
        </w:rPr>
        <w:t>E. 3.2</w:t>
      </w:r>
    </w:p>
    <w:p>
      <w:r>
        <w:t>Der Grundsatz des rechtlichen Gehörs (Art. 29 Abs. 2 der Bun­desverfassung der Schweizerischen Eidgenossenschaft vom 18. April 1999 [BV, SR 101], Art. 29 und Art. 32 Abs. 1 VwVG) verlangt, dass die verfügende Behörde die Vorbringen des Beschwerdeführers tat­sächlich hört, sorgfältig und ernsthaft prüft und in der Entscheidfin­dung berücksichtigt, was sich entsprechend in der Begründung des Entscheides niederschlagen muss (vgl. Art. 35 Abs. 1 VwVG; Ent­scheidungen und Mitteilungen der Schweizerischen Asylrekurskom­mission [EMARK] 2004 Nr. 38 E. 6.3). Dabei muss sich die verfügende Behörde nicht ausdrücklich mit jeder tatbeständlichen Aussage und jedem rechtlichen Einwand auseinandersetzen, sondern darf sich auf die wesentlichen Gesichtspunkte beschränken (vgl. [BGE] Entschei­dungen des Schweizerischen Bundesgerichts [Teil 1-5] 126 I 97, E. 2b).</w:t>
      </w:r>
    </w:p>
    <w:p>
      <w:r>
        <w:rPr>
          <w:b/>
        </w:rPr>
        <w:t>E. 3.3</w:t>
      </w:r>
    </w:p>
    <w:p>
      <w:r>
        <w:t>Der Beschwerdeführer hat im Rahmen der Befragung vom 29. Januar 2008 und der Anhörung vom 12. Februar 2008 neben den eigenen Asylvorbringen nicht nur auf die Asylverfahren seines Vaters und sei­nes Bruders in der Schweiz aufmerksam gemacht (A1/9, S. 3), sondern auch auf die Probleme hingewiesen, mit welchen er in Syrien durch das Verhal­ten seines Bruders E._______ in der Schweiz konfrontiert worden sei. So sei er nach seiner Festnahme im Jahr 2004 nicht wie seine Kollegen nach drei Monaten Haft entlassen worden, sondern wegen den oppositionellen Aktionen seines Bruders weiterhin gefangen gehalten worden. Erst später sei er mit der Aufla­ge entlas­sen worden, die syrischen Behörden über die Aktivitäten seines Bru­ders zu informieren (A1/9, S. 5; A9/12, S. 3 und 5). Eine Auseinander­setzung mit dieser familiären Konstellation fehlt in der vor­istanzlichen Verfügung gänzlich, in welcher nur die Haftzeit des Beschwerdeführers im Jahr 2004, die Geschehnisse nach den Newroz-Feierlichkeiten im Jahr 2007 und seine Teilnahme an politischen Kundgebungen in Zürich abgehandelt wurden. Durch die Vernehmlassung, die am 13. Januar 2009 durchgeführt wurde, hatte die Vorinstanz eine weitere Gelegenheit, sich zu den in der Beschwerdeschrift vorgebrachten Rügen zu äussern, was indes nicht einmal ansatzweise vom BFM wahrgenommen wurde. Bei diesen tatbe­ständlichen Aussagen des Beschwerdeführers handelt es sich um wesentliche Ge­sichtspunkte, auf die das BFM in seiner Entscheidfindung zweifellos hätte eingehen müssen. Es ist daher of­fenkundig, dass es seiner Pflicht zur Berücksichtigung der Vorbringen des Beschwerdeführers nicht nach­gekommen ist und somit die Be­gründungspflicht beziehungsweise dessen Anspruch auf rechtliches Gehör verletzt hat.</w:t>
      </w:r>
    </w:p>
    <w:p>
      <w:r>
        <w:rPr>
          <w:b/>
        </w:rPr>
        <w:t>E. 3.4</w:t>
      </w:r>
    </w:p>
    <w:p>
      <w:r>
        <w:t>Es stellt sich nun die Frage, ob die festgestellte Verletzung des Anspruchs auf rechtliches Gehör geheilt werden kann oder zur Kassa­tion der angefochtenen Verfügung führen muss. Aus prozessökonomi­schen Gründen hat der Gesetzgeber die Beschwerde an das Bundes­verwaltungsgericht grundsätzlich reformatorisch ausgestaltet. Gemäss Art. 105 AsylG i.V.m. Art. 37 VGG und Art. 61 Abs. 1 VwVG darf eine Kassation und Rückweisung an die Vorinstanz nur ausnahmsweise er­folgen, so etwa, wenn weitere Tatsachen festgestellt werden müssen und ein umfassendes Beweisverfahren durchzuführen ist (vgl. EMARK 1995 Nr. 6 E. 3d; Alfred Kölz/Isabelle Häner, Verwaltungsverfahren und Verwaltungsrechtspflege des Bundes, 2. Aufl., Zürich 1998, S. 245 f.). Massgebende Kriterien sind daher im Wesentlichen die Schwere und die Anzahl der Verfahrensfehler, die Spruchreife des Falles, die Mög­lichkeit, das allenfalls zu Unrecht verweigerte rechtliche Gehör auf Beschwerdestufe zu gewähren sowie die Kognition des Gerichts (vgl. EMARK 2004 Nr. 38 E. 7.1 mit weiteren Hinweisen). Sich an diesen Kriterien orientierend kommt das Bundesverwaltungs­gericht zum Schluss, dass eine Heilung vorliegend die sachgerechtere Lösung ist. Für eine Heilung spricht insbesondere die Spruchreife des vorliegenden Falles, die Prozessökonomie sowie die umfassende Ko­gnition des Gerichts: Es kann sowohl uneingeschränkt den rechtser­heblichen Sachverhalt feststellen als auch dessen rechtliche Würdi­gung frei vornehmen (vgl. Art. 106 AsylG). Insgesamt überwiegen die Gründe, die für eine Heilung und gegen eine Kassation sprechen.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Bundesverwaltungsgericht ist an die Begründung der Vorinstanz nicht gebunden und kann auf Beschwerdeebene eine Substitution der Motive vornehmen. 6.1 Die Vorinstanz kommt in ihrer Verfügung vom 16. September 2008 zum Schluss, dass die Vorbringen des Beschwer­deführers den Anfor­derungen an die Glaubhaftigkeit nach Art. 7 AsylG nicht standhielten, so dass ihre Asylrelevanz nicht zu prüfen sei. 6.2 Der Beschwerdeführer hält demgegenüber fest, dass seine Aus­sagen nicht nur glaubhaft seien, sondern dass die erlittene Inhaftie­rung und die Gefahr einer Reflexverfolgung wegen des familiären Hin­tergrunds zur Befürchtung führe, dass er bei einer Wegweisung auch in Zukunft mit schwerwiegenden und als asylrelevant zu werten­den Behelligungen von Seiten der syrischen Behörden rechnen müs­se. 6.3 Zunächst wird nachfolgend zu prüfen sein, ob der Beschwerde­führer im Zeit­punkt seiner Ausreise begründete Furcht hatte, in asylre­levanter Weise verfolgt zu werden. 6.3.1 Zwischen einer vergangenen Verfolgung und der Flucht muss ein zeitlicher und sachlicher Kausalzusammenhang vorliegen, d.h. be­reits erlittene asylrelevante Nachteile müssen für die Flucht als kausal er­scheinen (Walter Kälin, Grundriss des Asylverfahrens, Basel/Frank­furt a. M. 1990, S. 128). Zwischen den Ereignissen, die im Jahr 2004 zur Haft des Beschwer­deführers geführt haben sollen, und den Vor­kommnissen im Jahr 2007, die den Beschwerdeführer zur Flucht bewogen hätten, erscheint kein zeitlicher und sachlicher Kausalzusammenhang vorzuliegen. So hat auch der Beschwerdeführer zu Protokoll gegeben, dass er zwischen seiner Haftentlassung und den Newroz-Feierlichkeiten am 21. März 2007 keine Probleme gehabt habe (A1/9, S. 5; A 9/12, S. 6). Diese "Problemlosigkeit" der Zeit zwischen den Jahren 2004 und 2007 lässt sich nicht mit einer Phase einer grösseren Offenheit gegenüber Kur­den begründen, welche als mögliches Argument für eine fehlende Kausalität betrachtet werden könnte (vgl. dazu Walter Kälin, Grundriss des Asylverfahrens, Basel/Frankfurt a. M. 1990, S. 128 f.). Aus diesem Grund kommt der vorgebrachten Inhaftierung des Be­schwerdeführers im Jahr 2004 keine Asylrelevanz zu. 6.3.2 Aufgrund der Akten kann hinsichtlich der angeblichen Vorbringen rund um die Newroz-Feierlichkeiten am 21. März 2007 von folgendem Sachverhalt ausgegangen werden: Nach den Fei­erlichkeiten am 21. März 2007 in F._______ kehrten die Freunde des Be­schwerdeführers nach D._______ zurück, wo sie festgenommen wurden, während der Be­schwerdeführer selber noch in F._______ ­blieb. Nach dieser Festnahme wurde seine Familie von den syri­schen Behörden aufgesucht, welche seine persönlichen Sachen durchsuchten und mitnahmen. Dennoch reiste der Beschwerdeführer nach D._______ zurück, um seine Tätigkeiten einzustellen (A9/12, S. 7). Von dort ging er zu seinem Onkel H._______ nach Damaskus, wo er sich während der ganzen Zeit bis zu seiner Ausreise versteckt gehalten habe - also während mehreren Monaten - und von wo aus er diese Ausreise im Dezember 2007 or­ganisierte. Am 5. Dezember 2007 verliess er - legal - sein Heimatland und gelangte auf dem Flugweg via G._______ nach Genf. Gemäss den Informationen der Schweizeri­schen Botschaft vom 27. Juli 2008, wel­che nicht zu bezweifeln sind, wird der Beschwerde­führer von den sy­rischen Behörden nicht gesucht. Die Furcht vor einer Verfolgung durch die syrischen Behörden erscheint aufgrund dieses Sachverhalts als unbegründet, da der Beschwerde­führer insbesondere während mehr als acht Monaten unbehelligt bei einem Onkel mit demselben Fami­liennamen in Damaskus leben konnte. Wären die syrischen Be­hörden tatsächlich an einer Festnahme des Beschwerde­führers inter­essiert gewesen, hätten sie ihn wohl als erstes bei seinen Verwandten ge­sucht. 6.4 Zusammenfassend ist festzustellen, dass die vorgebrachten Vor­fluchtgründe des Beschwerdeführers insgesamt als nicht asylrelevant im Sinne von Art. 3 AsylG zu qualifizieren sind. Aus diesem Grund kann die Frage der Glaubhaftigkeit (Art. 7 AsylG) vorliegend offen bleiben. 7.1 In einem nächsten Schritt ist die vom Beschwerdeführer behaup­tete Befürchtung vor einer Reflexverfolgung bei einer allfälligen Rück­kehr nach Syrien wegen den oppositionellen Tätigkeiten seines Bru­ders E._______, welcher deswegen in der Schweiz als Flüchtling vorläufig aufgenommen wurde, zu untersuchen. 7.2 Massgeblich für die Beurteilung der Flüchtlingseigenschaft nach Art. 3 AsylG ist nicht der Zeitpunkt der Ausreise aus dem Heimatland, sondern die Lage im Zeitpunkt des Asylentscheides. So ist auch eine asylsuchende Person als Flüchtling anzuerkennen, die aufgrund von Ereignissen nach ihrer Ausreise im Falle einer Rückkehr in ihrem Heimat- und Herkunftsstaat in flüchtlingsrechtlich relevanter Weise verfolgt würde (Nachfluchtgrund). Zu unterscheiden ist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wegen ihres Verhaltens zum Zeitpunkt (zum Beispiel sogenannte Republikflucht) oder nach der Ausreise eine Verfolgung im Sinne von Art. 3 AsylG zu befürchten hat. Als subjektive Nachfluchtgründe gelten ins­besondere politische Betätigung im Exil, wenn sie die Gefahr einer zukünf­tigen Verfolgung begründen (vgl. zum Ganzen EAMRK 1994 Nr. 17 E. 3b und 4, 1995 Nr. 7 E. 8, 1995 Nr. 9 E. 8c, 2006 Nr. 1 E. 6.1, je mit wei­teren Hinweisen; Walter Stöckli, Asyl, in: Uebersax/Rudin/Hugi/Yar/ Geiser [Hrsg.], Ausländerrecht, 2. Aufl., Ba­sel 2009, Rz. 8.20). 7.3 Die vom Beschwerdeführer beschriebene Gefahr einer Reflexver­folgung ist unabhängig vom Verhalten des Beschwerdeführers nach seiner Ausreise entstanden und bildet entsprechend einen objektiven Nachfluchtgrund, bei dem ein Asylausschluss nach Art. 54 AsylG ausser Betracht fällt (vgl. EMARK 1994 Nr. 17 E. 3). Unter Reflexver­folgung versteht man behördliche Belästigungen oder Behelligungen von Angehörigen aufgrund des Umstandes, dass die Behörden einer gesuchten, politisch unbequemen Person nicht habhaft werden, oder wenn schlechthin von deren politischer Exponiertheit auf eine solche auch bei Angehörigen zu schliessen ist. Der Zweck einer solchen Re­flexverfolgung kann insbesondere darin liegen, Informationen über ef­fektiv gesuchte Personen zu erlangen, beziehungsweise Geständnisse von Inhaftierten zu erzwingen. Begründete Furcht vor künftiger Verfol­gung liegt sodann grundsätzlich vor, wenn aufgrund objektiver Um­stände in nachvollziehbarer Weise subjektiv befürchtet wird, die Ver­folgung werde sich mit beachtlicher Wahrscheinlichkeit und in abseh­barer Zukunft verwirklichen (vgl. Mario Gattiker, Das Asyl und Weg­weisungsverfahren, 3. Aufl., Bern 1999, S. 72 f. und 77 f.; Walter Kälin, Grundriss des Asylverfahrens, Basel/Frankfurt a. M. 1990, S. 137 f. und S. 144 ff.). 7.4 Die Asylrekurskommission hat in einem Entscheid aus dem Jahr 2005 bezüglich der Ver­folgungssituation in Syrien festgehalten, dass Angehörige besonders verdächtiger Personen, welche sich ins Aus­land abgesetzt hätten oder anderweitig unterge­taucht seien, zumin­dest intensive Befragungen durch den syrischen Geheimdienst be­fürchten müssen und dass auch Beispiele sippen­haftartiger Verfol­gungsmassnahmen zu verzeichnen seien (EMARK 2005 Nr. 7 E. 8 mit weiteren Hinweisen). Die men­schenrechtliche Si­tuation hat sich seither in Syrien nicht wesentlich verbessert. Gemäss Berichten verschiede­ner Menschenrechtsorgani­sationen kommt es weiterhin zu Drohun­gen, Belästigungen, willkürli­chen Inhaftierungen, unfairen Prozessen und körperlicher Gewalt (UK Home Office, Country of Origin Information Report, Syria, 3. Septem­ber 2010, Ziff. 7.01 ff. und 20.03 ff. mit weite­ren Hinweisen; Alexandra Geiser, Syrien Update: Aktuelle Entwicklun­gen, Schweizerische Flüchtlingshilfe [SFH] 20. August 2008, S. 6 ff.). Ferner sind Ein­schüchterungen und Beläs­tigungen von Familienan­gehörigen von Ak­tivisten an der Tagesord­nung, um Geständnis­se zu erzwingen oder Flüchtige zur Aufgabe ihrer Aktivitäten zu bewegen (ACCORD [Austrian Centre for Country of Origin &amp; Asylum Research and Docu­mentation], Men­schenrechtliche Fragestellungen zu KurdIn­nen in Sy­rien, Mai 2010, S. 51 ff.; HRW [Human Rights Watch], Group Denial, Repression of Kurdish Political and Cultural Rights in Syria, November 2009, S. 52; Alexandra Geiser, a.a.O., S. 18). Verhaftungen von Per­sonen, die aus dem Ausland zurückkeh­ren, sind häufig (wenn auch nicht notwendi­gerweise für einen langen Zeitraum); teilweise wird an­gegeben, dass alle zurückgekehrten ab­gewiesenen Asylsuchenden automatisch fest­genommen und verhört werden, um festzustellen, ob sie von den Si­cherheitsdiensten gesucht werden (ACCORD, a.a.O., S. 63 f.; Alexan­dra Geiser, a.a.O., S. 18). Vor diesem Hintergrund ist davon auszuge­hen, dass die von der ARK im oben zitierten Entscheid ge­troffene Einschätzung nach wie vor zutreffend ist (vgl. Entscheid des Bundesverwaltungsgerichts vom 3. September 2009 D-7813/2008, E. 6.4.4). 7.5 Der Bruder des Beschwerdeführers, E._______ ([...]), wurde im Rahmen eines Wiedererwägungsverfahrens mit Verfügung vom 26. Juli 2005 in der Schweiz als Flüchtling im Sinne von Art. 54 AsylG vorläufig aufgenommen, nachdem er nachweislich an der Be­setzung des Syrischen Konsulats vom 15. März 2004 beteiligt war. Zwar gab der Beschwerdeführer zu Protokoll, in Syrien ausser den erwähnten Ereignissen im Jahr 2004 und im Jahr 2007 keine weiteren Probleme gehabt zu haben (A1/9, S. 5; A 9/12, S. 6). Fast drei Jahre nach seiner Einreise in die Schweiz im Dezember 2007 ist indes aus heutiger Sicht davon auszu­gehen, dass der Beschwerdeführer aus subjektiver Sicht mit überwiegender Wahrscheinlichkeit im Falle einer Rückkehr nach Syrien einem erheblichen Risiko einer intensiven Be­fragung über dessen in der Schweiz verbliebenen Bruder und einer Ge­fangennahme durch die syrischen Behörden aus­gesetzt sein wird, zumal die syrischen Behörden davon ausgehen dürften, dass dieser aufgrund seines engen Kontaktes mit seinem Bruder im Ausland ebenfalls politisch aktiv war. Dabei kann nicht ausgeschlossen werden, dass die syrischen Sicher­heitsbehörden auch auf gewaltsame Metho­den zu­rückgreifen würden, welche ohne Weiteres die Intensität ernst­hafter Nachteile im Sinne von Art. 3 AsylG erreichen könnten. 7.6 Die Flüchtlingseigenschaft ist nach diesen Erwägungen aufgrund des Bestehens einer begründeten Furcht vor einer Reflexverfolgung zu bejahen. Die Voraussetzungen von Art. 3 AsylG sind erfüllt. Aus den Akten ergeben sich ferner keine Hinweise auf das Vorliegen von Asyl­ausschlussgründen. Die Beschwerde ist daher gut­zuheissen, die an­gefochtene Verfügung der Vorinstanz aufzuheben und die Vorinstanz anzuweisen, dem Beschwerdeführer in der Schweiz Asyl zu gewähren. Auf die weiteren Begehren des Beschwerdeführers ist aufgrund der Gutheissung der Beschwerde nicht weiter ein­zugehen. 8.1 Bei diesem Ausgang des Verfahrens sind keine Verfahrenskosten zu erheben (Art. 63 Abs. 1 VwVG). 8.2 Dem Beschwerdeführer ist es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weist in seiner Kostenno­te vom 30. September 2010 einen Gesamtaufwand von Fr. 2'374.- aus, was angemessen erscheint (Art. 10 Abs. 2 und Art. 14 VGKE). Die Parteientschädigung zu Lasten des BFM wird deshalb auf Fr. 2'374.- (inkl. Auslagen und MwSt.) festgesetzt. Das BFM ist 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