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E-6412/2006 vom 9. September 2008</w:t>
      </w:r>
    </w:p>
    <w:p>
      <w:r>
        <w:t>Bundesverwaltungsgericht, 2008-09-09, DE</w:t>
      </w:r>
    </w:p>
    <w:p>
      <w:r>
        <w:rPr>
          <w:b/>
        </w:rPr>
        <w:t xml:space="preserve">Quelle: </w:t>
      </w:r>
      <w:r>
        <w:t>https://mcp.opencaselaw.ch/entscheid/bvger_E-6412_2006</w:t>
      </w:r>
    </w:p>
    <w:p>
      <w:r>
        <w:t>FR: TAF E-6412/2006 du 9 septembre 2008</w:t>
      </w:r>
    </w:p>
    <w:p>
      <w:r>
        <w:t>IT: TAF E-6412/2006 del 9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Die Be-schwerdeführenden sind durch die angefochtene Verfügung berührt und haben ein schutzwürdiges Interesse an deren Aufhebung bezie-hungsweise Änderung. Sie sind daher zur Einreichung der Beschwer-de legitimiert (Art. 6 AsylG i.V.m. Art. 48 Abs. 1 und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 die Abweisung des Asylgesuches im We-sentlichen damit, die Vorbringen der Beschwerdeführenden seien wi-dersprüchlich und realitätsfremd und stützten sich massgeblich auf ge-fälschte Beweismittel. So habe der Beschwerdeführer in der kantonalen Anhörung ausge-sagt, wegen seiner Tätigkeit für den Sicherheitsdienst der Fatah im La-ger L._______ sei gegen ihn nach der Rückkehr aus (Staatsbezeichnung) ein Haftbefehl ausgestellt worden. In der ergänzenden Bundesanhörung habe er jedoch angegeben, er sei nach der Rückkehr zunächst in das Lager N._______ gegangen, wo er für das Generalkommando tätig gewesen sei, was zu einem Haftbefehl gegen ihn geführt habe. Danach sei er in das Lager L._______ umgezogen und für die Fatah tätig gewesen. Da er in der kantonalen Anhörung die Tätigkeit für das Generalkommando im Lager N._______ nie erwähnt habe, bestünden Zweifel am Engagement des Beschwerdeführers für diese palästinensische Organisationen. Das Vorbringen des Beschwerdeführers in der kantonalen Anhörung, seinem Bruder sei, als dieser für ihn eine Identitätskarte habe abholen wollen, mitgeteilt worden, dass gegen ihn ein Haftbefehl bestehe, sei als unrealistisch zu bezeichnen, da dies gleichzeitig eine Warnung ge-wesen wäre. Der angebliche Fatah-Ausweis habe sich angesichts von Manipulati-onsspuren (das angebrachte Foto weise keine Stempelfarbe auf) und der Erkenntnis, dass derartige Dokumente in K._______mühelos käuflich erworben werden könnten, als Totalfälschung herausgestellt, weshalb es keiner Untersuchung durch einen wissenschaftlichen Dienst bedür-fe.</w:t>
      </w:r>
    </w:p>
    <w:p>
      <w:r>
        <w:rPr>
          <w:b/>
        </w:rPr>
        <w:t>E. 4.2</w:t>
      </w:r>
    </w:p>
    <w:p>
      <w:r>
        <w:t>Von Beschwerdeseite wird geltend gemacht, der wahre und voll-ständige Sachverhalt sei erst in der Bundesanhörung geltend gemacht worden, weshalb die vor dieser Anhörung getätigten Aussagen der Be-schwerdeführenden nicht zu würdigen seien. Der gefälschte Fatah-Ausweis sei versehentlich eingereicht worden. Durch die mit der Be-schwerde eingereichte Original-Vorladung und den echten Fatah-Aus-weis würden ihre Vorbringen glaubhaft gemacht. Die Echtheit des "neuen" Ausweises sei zu überprüfen.</w:t>
      </w:r>
    </w:p>
    <w:p>
      <w:r>
        <w:rPr>
          <w:b/>
        </w:rPr>
        <w:t>E. 4.3</w:t>
      </w:r>
    </w:p>
    <w:p>
      <w:r>
        <w:t>In der Vernehmlassung des Bundesamtes wird den eingereichten Dokumenten jeglicher Beweiswert abgesprochen. Hinsichtlich des Fa-tah-Ausweises wird auf die Erwägungen des Entscheids verwiesen; das als Vorladung bezeichnete Dokument enthalte weder die Persona-lien des Beschwerdeführers noch den Wohnort. Auch finde sich der Name des Beschwerdeführers im Kopienverteiler, indessen handle es sich beim eingereichten Dokument um ein Original.</w:t>
      </w:r>
    </w:p>
    <w:p>
      <w:r>
        <w:rPr>
          <w:b/>
        </w:rPr>
        <w:t>E. 4.4</w:t>
      </w:r>
    </w:p>
    <w:p>
      <w:r>
        <w:t>In ihrer Replik betonen die Beschwerdeführenden die Echtheit der mit der Beschwerde eingereichten Dokumente sowie eine Verletzung der Abklärungspflicht durch die Vorinstanz.</w:t>
      </w:r>
    </w:p>
    <w:p>
      <w:r>
        <w:rPr>
          <w:b/>
        </w:rPr>
        <w:t>E. 4.5</w:t>
      </w:r>
    </w:p>
    <w:p>
      <w:r>
        <w:t>Dem Bundesamt ist zuzustimmen, dass erhebliche Zweifel am Wahrheitsgehalt der Verfolgungsvorbringen der Beschwerdeführer be-stehen. Zwar ist glaubhaft gemacht worden, dass die Beschwerdeführerin - nicht aber der Beschwerdeführer - palästinensischer Herkunft ist. Auch kann geglaubt werden, dass die Beschwerdeführenden in einem palästinensischen Flüchtlingslager gelebt haben. Dagegen sind die Verfolgungsvorbringen äusserst widersprüchlich, zumal die Sachvor-bringen im Laufe des Verfahrens unterschiedlich ausfielen. So ist un-verständlich, warum sie in der Empfangsstellenbefragung und in der kantonalen Anhörung ausgesagt haben, der Beschwerdeführer sei we-gen seiner Tätigkeit für die Fatah im Lager L._______ gesucht worden (vgl. act. A1 S. 5, A2 S. 5, A13 S. 8 ff.), in der ergänzenden Anhörung dagegen als Ursache der Suche nach ihm seine Aktivitäten für das Generalkommando im Lager N._______ angegeben wurde (vgl. act. A28 S. 10). Die Beschwerdeführenden haben erklärt, sie hätten die libanesische Staatsangehörigkeit des Beschwerdeführers aus Angst vor den libanesischen Behörden verschwiegen. Dies erklärt je-doch nicht, warum sie anfänglich zum einem den Aufenthalt im Flücht-lingslager N._______ verschwiegen haben und zum anderen ganz unterschiedliche Ursachen für die Suche nach dem Beschwerdeführer die Tätigkeit für das Generalkommando im Lager N._______ beziehungsweise die Tätigkeit als Sicherheitskämpfer für die Fatah im Lager L._______ - angaben. Auch ist unklar, ob sich der Beschwerdeführer nach seiner Rückkehr aus (Staat) (1997) im Lager N._______ wegen einer behördlichen Suche nach ihm versteckt hat, wie das die Beschwerdeführerin behauptet (vgl. act. A28 S. 4). Jedenfalls ist der Beschwerdeführer nach eigenen Angaben aus Platzmangel und weil er K._______dem Südlibanon vorziehe in das Lager N._______ gegangen (vgl. act. A28 S. 12). Wenig realistisch erscheint auch, dass die Beschwerdeführenden trotz der behaupteten behördlichen Suche nach dem Beschwerdeführer problemlos mit ihren eigenen Pässen ausgereist sein wollen (vgl. act. A13 S. 7). Das Vorliegen eines Haftbefehls kann ebenfalls nicht geglaubt werden. Ein solcher ist bis heute nicht eingereicht worden, obwohl der Be-schwerdeführer in der kantonalen Anhörung noch ankündigte, er wer-de den Haftbefehl beziehungsweise Informationen darüber beschaffen (vgl. act. A13 S. 13). Die Angaben zum Bestehen eines Haftbefehles sind äusserst wider-sprüchlich, weshalb erhebliche Zweifel an der Suche nach dem Be-schwerdeführer und seinem politischen Engagement für palästinensi-sche Organisationen bestehen. Es ist ist unklar, aus welchem Grund und seit wann ein Haftbefehl bestehen soll und wann und unter wel- chen Umständen der Beschwerdeführer davon erfahren haben will. Nach den Aussagen anlässlich der kantonalen Anhörung hat er etwa acht Monate vor der Ausreise von seinem Bruder vom Vorliegen eines Haftbefehles Kenntniss erlangt, was - wie bereits vom Bundesamt her-vorgehoben - angesichts der damit verbundenen Warnung un-glaubhaft ist (vgl. act. A13 S. 13). Nach ihren Ausführungen bei der di-rekten Bundesanhörung, welche die Beschwerdeführenden als allein massgebliche gelten lassen wollen, wurde gegen den Beschwerde-führer bereits 1985/1986 ein Haftbefehl ausgestellt, da er als Deser-teur gegolten habe, auch wenn später eine generelle Amnestie erfolgt sei (vgl. act. A28 S. 8). Zudem bestehe gegen ihn wegen seiner Tätig-keit für das Generalkommando im Lager N._______ ab 1997 ein Haftbefehl, wobei der Beschwerdeführer dies von Agenten erfahren haben will (vgl. act. A28 S. 10); von einer Mitteilung seines Bruders ist nicht mehr die Rede. Verstärkt werden die Zweifel an der Glaubhaftigkeit der Vorbringen durch die Tatsache, dass die Beschwerdeführenden einen im Laufe des Verfahrens von ihnen selbst als gefälscht bezeichneten und vom Bundesamt eingezogenen Fatah-Ausweis eingereicht haben. Eine Un-tersuchung des zweiten, ebenfalls als Fatah-Ausweis bezeichneten Dokumentes erübrigt sich schon deshalb, weil selbst mit einem echten Fatah-Ausweis die Widersprüche zu den Verfolgungsvorbringen nicht ausgeräumt würden und ein solcher Ausweis nach Angabe der Bot-schaft vor Ort leicht käuflich erworben werden kann und somit keinen Beweiswert aufweist. Das als Vorladung bezeichnete Dokument vermag die behauptete Ver-folgung ebenfalls nicht zu belegen, bestehen doch angesichts der von der Vorinstanz angemerkten fehlenden Angaben zu den Personalien und zum Wohnort sowie der Tatsache, dass es sich um ein Original handelt, laut Kopienverteiler aber eine Kopie und nicht das Original an den Beschwerdeführer gehen sollte, an der Echtheit des Dokumentes erhebliche Zweifel. Hinzu kommt, dass das Datum der Vorladung der 2. März 1998 ist. Damit wäre dem Beschwerdeführer das Schreiben bereits mehr als zwei Jahre vor seiner Ausreise übergeben bezie-hungsweise zumindest bekannt gemacht worden, weshalb erstaunt, dass in den Befragungen nie von einer derartigen Vorladung die Rede war und das Schreiben erst mit Beschwerde vom 22. April 2003 einge-reicht wurde. Das Einreichen des gefälschten Fatah-Ausweises und der Kopie eines gefälschten palästinensischen Ausweises sowie die unterschiedlichen Ausführungen hinsichtlich des Sachverhalts, die falschen Angaben zu den Personalien und zur Staatsangehörigkeit des Beschwerdeführers sowie die abweichenden Angaben zum Reiseweg führen zu grossen Zweifeln an der Glaubwürdigkeit der Beschwerdeführenden.</w:t>
      </w:r>
    </w:p>
    <w:p>
      <w:r>
        <w:rPr>
          <w:b/>
        </w:rPr>
        <w:t>E. 4.6</w:t>
      </w:r>
    </w:p>
    <w:p>
      <w:r>
        <w:t>Zusammenfassend ist festzuhalten, dass es den Beschwerdeführenden nicht gelungen ist, eine drohende Gefährdung glaubhaft zu machen. Die von ihnen geäusserte Furcht vor einer Rückkehr in den Libanon erscheint somit unter asylrechtlichen Gesichtspunkten als un-begründet.</w:t>
      </w:r>
    </w:p>
    <w:p>
      <w:r>
        <w:rPr>
          <w:b/>
        </w:rPr>
        <w:t>E. 4.7</w:t>
      </w:r>
    </w:p>
    <w:p>
      <w:r>
        <w:t>Angesichts dieser Sachlage erübrigt es sich, auf die weiteren Vorbringen in den Eingaben der Beschwerdeführenden einzugehen, da sie am Ergebnis nichts zu ändern vermögen. Es ist ihnen nicht gelun-gen, nachzuweisen oder glaubhaft zu machen, dass sie im Zeitpunkt der Ausreise aus dem Libanon begründete Furcht hatten, im Sinne von Art. 3 Abs. 2 AsylG relevanten Nachteilen ausgesetzt zu werden. Das Bundesamt hat das Asylgesuch demnach zu Recht abgelehnt.</w:t>
      </w:r>
    </w:p>
    <w:p>
      <w:r>
        <w:rPr>
          <w:b/>
        </w:rPr>
        <w:t>E. 5.1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Die Bedingungen für einen Verzicht auf den Vollzug der Wegweisung sind alternativer Natur. Ist eine von ihnen erfüllt, ist der Vollzug der Wegweisung als undurchführbar zu betrachten und die weitere Anwesenheit in der Schweiz gemäss den Bestimmungen über die vorläufige Aufnahme zu regeln (vgl. die weiterhin geltende Rechtsprechung in Entscheidungen und Mitteilungen der Schweizerischen Asylrekurskommission [EMARK] 2006 Nr. 6 E. 4.2., mit weiteren Hinweisen).</w:t>
      </w:r>
    </w:p>
    <w:p>
      <w:r>
        <w:rPr>
          <w:b/>
        </w:rPr>
        <w:t>E. 5.3</w:t>
      </w:r>
    </w:p>
    <w:p>
      <w:r>
        <w:t>Der Vollzug der Wegweisung erweist sich für Ausländerinnen und Ausländer dann als unzumutbar, wenn sie im Heimat- oder Herkunftsstaat auf Grund von Situationen wie Krieg, Bürgerkrieg, allgemeiner Gewalt und medizinischer Notlage konkret gefährdet sind (Art. 83 Abs. 4 AuG).</w:t>
      </w:r>
    </w:p>
    <w:p>
      <w:r>
        <w:rPr>
          <w:b/>
        </w:rPr>
        <w:t>E. 5.3.1</w:t>
      </w:r>
    </w:p>
    <w:p>
      <w:r>
        <w:t>Sind Kinder von einem Vollzug der Wegweisung betroffen, so bildet das Kindeswohl im Rahmen der Zumutbarkeitsprüfung einen Gesichtspunkt von grosser Bedeutung. Unter dem Aspekt des Kindeswohls sind sämtliche Umstände einzubeziehen und zu würdigen, die im Hinblick auf eine Wegweisung wesentlich erscheinen (vgl. EMARK 1998 Nr. 13 E. 5e.aa). Erschwerte (Re-)Integrationsmöglichkeiten im Heimatstaat infolge einer fortgeschrittenen Assimilierung des Kindes in der Schweiz können zur Feststellung der Unzumutbarkeit des Wegweisungsvollzuges der ganzen Familie führen (EMARK 2005 Nr. 6 E. 6.2., EMARK 1998 Nr. 31 E. 8c.ff.ccc).</w:t>
      </w:r>
    </w:p>
    <w:p>
      <w:r>
        <w:rPr>
          <w:b/>
        </w:rPr>
        <w:t>E. 5.3.2</w:t>
      </w:r>
    </w:p>
    <w:p>
      <w:r>
        <w:t>In diesem Zusammenhang ist zunächst ist festzustellen, dass sich gemäss übereinstimmender Erkenntnis der schweizerischen Asyl-behörden aus der allgemeinen Lage im Libanon kein Wegweisungshin-dernis ableiten lässt, da nicht von einer dort herrschenden Situation allgemeiner Gewalt oder Bürgerkrieg gesprochen werden kann.</w:t>
      </w:r>
    </w:p>
    <w:p>
      <w:r>
        <w:rPr>
          <w:b/>
        </w:rPr>
        <w:t>E. 5.3.3</w:t>
      </w:r>
    </w:p>
    <w:p>
      <w:r>
        <w:t>Auch wenn mit dem Bundesamt von einem intakten familiären Umfeld auszugehen ist, ist sodann zu bedenken, dass aus entwick-lungspsychologischer Sicht für das Kindeswohl nicht nur das unmittel-bare persönliche Umfeld des Kindes (die Kernfamilie) ausschlagge-bend ist, sondern auch die weitere soziale Einbettung. In Berücksichti-gung der oben genannten Rechtsprechung ist vorliegend die klar vor-handene Verwurzelung der Kinder in der Schweiz mit den Folgen ei-ner Entwurzelung im Heimatstaat ausschlaggebend, weshalb der Weg-weisungsvollzug als unzumutbar zu bezeichnen ist. Die Kinder C._______, D._______, E._______, F._______ und G._______ gehen beziehungsweise gingen in der Schweiz zur Schule und sprechen perfekt Deutsch, wogegen sie die Sprache des Heimatlandes nicht oder nur beschränkt beherrschen. Der (...)-jährige Sohn E._______, im Alter von (...) Jahren in die Schweiz gekommen, ist gemäss Angaben des Schulleiters ein aktiver, integrierter Schüler (s. Beilage 6 zur Replik vom 1. Februar 2005) und beginnt dieses Jahr eine Lehre als (...) (s. Beilage 5 zum Schreiben vom 16. Juni 2008). Die ältesten Töchter C._______ und D._______, (...) und fast (...) Jahre alt, haben beide eine Anstellung in der Schweiz gefunden (s. Beilagen 2-4 zur Eingabe vom 16. Juni 2008). Der (...)-jährige und im Alter von (...) Jahren in die Schweiz gekommene Sohn F._______ wurde über längere Zeit therapeutisch behandelt und besucht eine Kleinklasse. Die Tochter G._______, mit (...) Jahren in die Schweiz gekommen, hat in der Schweiz den Kindergarten besucht und ist eine voll integrierte Schülerin (s. Beilage 6 zur Replik vom 1. Februar 2005). Nach Auskunft der Schulleitung ist bezüglich der grosse Lernerfolge und gute Leistungen zeigenden Kindern E._______ und G._______ mit Sicherheit anzunehmen, dass sie der Wechsel in ein nicht-deutschsprachiges Land vor sehr grosse Probleme stellen würde. Sie würden Arabisch besten Falles umgangssprachlich sprechen können, schreiben könnten sie es nicht. Der Sohn H._______ besucht den Kindergarten. Die in der Schweiz geborenen Kinder H._______, (...) Jahre, I._______, (...) Jahre, und J._______, (...) Jahr, haben ihre gesamte Sozialisation in der Schweiz erfahren. Die Kinder E._______, F._______, G._______ und H._______ dürften sich aufgrund ihres Alters und ihres in der Schweiz verbrachten Lebensabschnittes an die schweizerische Lebensweise angeglichen haben und in erheblichem Masse durch das hiesige kulturelle und soziale Umfeld geprägt sein. Demgegenüber verfügen sie nicht oder kaum über jene - namentlich schriftlichen - Kenntnisse ihrer Muttersprache, welche für eine adäquate Eingliederung in das Schulsystem in der Heimat Voraussetzung wären. Auch in weiteren sozialen Bereichen wäre ihre Integration in der Heimat in erheblichem Masse in Frage gestellt. Es besteht demnach die konkrete Gefahr, dass die mit einem Vollzug der Wegweisung verbundene Entwurzelung aus dem gewachsenen sozialen Umfeld in der Schweiz einerseits und die sich gleichzeitig abzeichnende Problematik einer (Re-)Integration in eine ihnen fremd gewordene Umgebung anderseits zu Belastungen ihrer jugendlichen und kindlichen Entwicklung führen würden, die mit dem Schutzanliegen des Kindeswohls nicht zu vereinbaren wären.</w:t>
      </w:r>
    </w:p>
    <w:p>
      <w:r>
        <w:rPr>
          <w:b/>
        </w:rPr>
        <w:t>E. 5.4</w:t>
      </w:r>
    </w:p>
    <w:p>
      <w:r>
        <w:t>Das Gericht erachtet demnach den Vollzug der Wegweisung der Beschwerdeführenden beziehungsweise der gesamten Familie unter Berücksichtigung dieser Gesichtspunkte insgesamt als nicht zumutbar im Sinne der gesetzlichen Bestimmung. Aus den Akten ergeben sich zudem keine Hinweise auf allfällige Ausschlussgründe gemäss Art. 83 Abs. 7 AuG.</w:t>
      </w:r>
    </w:p>
    <w:p>
      <w:r>
        <w:rPr>
          <w:b/>
        </w:rPr>
        <w:t>E. 5.5</w:t>
      </w:r>
    </w:p>
    <w:p>
      <w:r>
        <w:t>Bei dieser Sachlage kann darauf verzichtet werden, die Beein-trächtigung des Gesundheitszustandes des Beschwerdeführers sowie die gesundheitliche Situation des auf Medikamentenunterstützung an-gewiesenen jüngsten Sohnes J._______ sowie weitere Aspekte im Zusammenhang mit der Frage der Zumutbarkeit eines Wegweisungsvollzuges zu prüfen. Auch erübrigen sich Ausführungen zur geltend gemachten Staatenlosigkeit der Beschwerdeführerin, einzig ist darauf hinzuweisen, dass für die Anerkennung der Staatenlosigkeit nach dem Übereinkommen vom 28. September 1954 über die Rechtsstellung der Staatenlosen (SR 0.142.40) und die daran anknüpfende Ausstellung von Reisedokumenten erstinstanzlich das BFM zuständig ist (vgl. Art. 59 Abs. 1 und Abs. 2 Bst. b sowie Art. 98 Abs. 1 AuG; Art. 1 der Verordnung vom 27. Oktober 2004 über die Ausstellung von Reisedokumenten für ausländische Personen [RDV, SR 143.5]; Urteil des Bundesverwaltungsgerichts C-1055/2006 vom 23. Februar 2007 E. 5.2).</w:t>
      </w:r>
    </w:p>
    <w:p>
      <w:r>
        <w:rPr>
          <w:b/>
        </w:rPr>
        <w:t>E. 6</w:t>
      </w:r>
    </w:p>
    <w:p>
      <w:r>
        <w:t>Entsprechend den Ausführungen ist die Beschwerde betreffend die Nichtanerkennung der Flüchtlingseigenschaft, die Verweigerung von Asyl und die Anordnung der Wegweisung abzuweisen; hinsichtlich der Anordnung des Wegweisungsvollzuges ist sie gutzuheissen, die Ziffern 4 und 5 des Dispositivs der angefochtenen Verfügung vom 17. März 2003 sind aufzuheben und die Vorinstanz ist anzuweisen, die Be-schwerdeführenden vorläufig in der Schweiz aufzunehmen.</w:t>
      </w:r>
    </w:p>
    <w:p>
      <w:r>
        <w:rPr>
          <w:b/>
        </w:rPr>
        <w:t>E. 7</w:t>
      </w:r>
    </w:p>
    <w:p>
      <w:r>
        <w:t>Bei diesem Ausgang des Verfahrens sind die reduzierten Verfahrens-kosten von Fr. 300.-- den Beschwerdeführern aufzuerlegen (vgl. Art. 63 Abs. 1 VwVG).</w:t>
      </w:r>
    </w:p>
    <w:p>
      <w:r>
        <w:rPr>
          <w:b/>
        </w:rPr>
        <w:t>E. 8</w:t>
      </w:r>
    </w:p>
    <w:p>
      <w:r>
        <w:t>Den vertretenen Beschwerdeführenden ist als teilweise obsiegender Partei für die ihnen im Beschwerdeverfahren notwendigerweise ent-standenen Kosten eine hälftig zu reduzierende Parteientschädigung zuzusprechen (vgl. Art. 64 Abs. 1 VwVG i. V. m. Art. 7 Abs. 2, 8 und 9 des Reglements vom 21. Februar 2008 über die Kosten und Entschä-digungen vor dem Bundesverwaltungsgericht [VGKE, SR 173.320.2]). Der Rechtsvertreter reichte eine Honorarnote im Umfang von Fr. 2'976.50 (inkl. Auslagen und Mehrwertssteuer) ein. Der Betrag wird als angemessen erachtet. Das BFM ist anzuweisen, den Beschwerde-führenden den hälftigen Betrag von Fr. 1'489.- (aufgerundet) als Ent-schädigung für das Verfahren vor dem Bundesverwaltungsgericht aus-zurichten (Art. 64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