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E-6405/2014 vom 5. Dezember 2014</w:t>
      </w:r>
    </w:p>
    <w:p>
      <w:r>
        <w:t>Bundesverwaltungsgericht, 2014-12-05, DE</w:t>
      </w:r>
    </w:p>
    <w:p>
      <w:r>
        <w:rPr>
          <w:b/>
        </w:rPr>
        <w:t xml:space="preserve">Quelle: </w:t>
      </w:r>
      <w:r>
        <w:t>https://mcp.opencaselaw.ch/entscheid/bvger_E-6405_2014</w:t>
      </w:r>
    </w:p>
    <w:p>
      <w:r>
        <w:t>FR: TAF E-6405/2014 du 5 décembre 2014</w:t>
      </w:r>
    </w:p>
    <w:p>
      <w:r>
        <w:t>IT: TAF E-6405/2014 del 5 dicembre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[SR 142.31]; Art. 83 Bst. d Ziff. 1 BGG).</w:t>
      </w:r>
    </w:p>
    <w:p>
      <w:r>
        <w:rPr>
          <w:b/>
        </w:rPr>
        <w:t>E. 1.2</w:t>
      </w:r>
    </w:p>
    <w:p>
      <w:r>
        <w:t>Mit dringlicher Änderung des Asylgesetzes vom 28. September 2012 (AS 2012 5359), welche am 29. September 2012 in Kraft trat, wurden unter anderem die Bestimmungen betreffend die Stellung von Asylgesuchen aus dem Ausland aufgehoben. Die Übergangsregelungen halten jedoch fest, dass für die vor dem Inkrafttreten der Änderung vom 28. September 2012 im Ausland gestellten Gesuche die massgeblichen Artikel (aArt. 12, 19, 20, 41 Abs. 2, 52 und 68 AsylG) in der bisherigen Fassung nach wie vor anwendbar sind. Demnach sind auf den vorliegenden Fall die bisherigen Bestimmungen betreffend das Auslandverfahren anzuwenden. Im Übrigen richtet sich das Verfahren nach dem VwVG, dem VGG und dem BGG, soweit das AsylG nichts anderes bestimmt (Art. 37 VGG und Art. 6 AsylG).</w:t>
      </w:r>
    </w:p>
    <w:p>
      <w:r>
        <w:rPr>
          <w:b/>
        </w:rPr>
        <w:t>E. 1.3</w:t>
      </w:r>
    </w:p>
    <w:p>
      <w:r>
        <w:t>Die vorliegende Beschwerde ist in Englisch und somit nicht in einer Amtssprache des Bundes abgefasst. Auf die Ansetzung einer Frist zur Beschwerdeverbesserung oder auf die Einholung einer Übersetzung kann indessen aus prozessökonomischen Gründen praxisgemäss ver-zichtet werden. Abgesehen vom sprachlichen Mangel ist die Beschwerde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diese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summarisch zu begründen ist (Art. 111a Abs. 2 AsylG).</w:t>
      </w:r>
    </w:p>
    <w:p>
      <w:r>
        <w:rPr>
          <w:b/>
        </w:rPr>
        <w:t>E. 4</w:t>
      </w:r>
    </w:p>
    <w:p>
      <w:r>
        <w:t>Gestützt auf Art. 111a Abs. 1 AsylG wurde vorliegend auf die Durchführung eines Schriftenwechsels verzichtet.</w:t>
      </w:r>
    </w:p>
    <w:p>
      <w:r>
        <w:rPr>
          <w:b/>
        </w:rPr>
        <w:t>E. 5.1</w:t>
      </w:r>
    </w:p>
    <w:p>
      <w:r>
        <w:t>Das BFM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Abs. 1 und 2 AsylG). Die erlittenen beziehungsweise drohenden Nachteile müssen nachgewiesen oder zumindest glaubhaft gemacht werden (Art. 7 AsylG).</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BVGE 2011/10 E. 3.3 S. 126).</w:t>
      </w:r>
    </w:p>
    <w:p>
      <w:r>
        <w:rPr>
          <w:b/>
        </w:rPr>
        <w:t>E. 6.1</w:t>
      </w:r>
    </w:p>
    <w:p>
      <w:r>
        <w:t>Die Vorinstanz führte zur Begründung ihres Entscheids insbesondere aus, die Abklärung des rechtserheblichen Sachverhalts erfordere die Anwesenheit der Beschwerdeführerin in der Schweiz nicht. Aufgrund des vollständig erstellten Sachverhalts könne davon ausgegangen werden, dass keine unmittelbare Gefährdung vorliege, die eine Einreise als notwendig erscheinen liesse. Den Akten seien keine glaubhaften Anhaltspunkte dafür zu entnehmen, dass die Beschwerdeführerin im Zeitpunkt der Ausreise aus Äthiopien von einreiserelevanten Nachteilen bedroht gewesen sei. Sie mache geltend, ihren Heimatstaat verlassen zu haben, weil sie nach der Entlassung aus der einmonatigen Haft von Mitbürgern belästigt, diskriminiert und misshandelt worden sei und unter finanziellen und sozialen Problemen gelitten habe. Diese Aussagen, insbesondere jene betreffend die Ausreisegründe, seien äusserst vage und unsubstanziiert. Ihre Schilderungen über die Probleme nach der Haftentlassung seien sehr allgemein ausgefallen und hätten sich in wenigen kurzen und stereotypen Sätzen erschöpft. Es könne daher nicht geglaubt werden, dass sie das Geschilderte tatsächlich erlebt habe. Insgesamt würden weder realitätsnahe Ausführungen noch irgendwelche Beweismittel vorliegen, die die behaupteten Ereignisse plausibel machen würden. Der Vollständigkeit halber sei zu erwähnen, dass sich die Beschwerdeführerin bereits seit fünf Jahren im Sudan aufhalte. Die Hürden für eine zumutbare Existenz in Khartum seien daher offensichtlich nicht unüberwindbar. Bezüglich der erwähnten Vergewaltigung und den anschliessenden Drohungen wäre es ihr sodann freigestanden, dies in einem Flüchtlingslager des UNHCR zu melden oder sich an eine der im Sudan tätigen Nichtregierungsorganisationen zu wenden, die Opfer sexueller Gewalt unterstützen würden.</w:t>
      </w:r>
    </w:p>
    <w:p>
      <w:r>
        <w:rPr>
          <w:b/>
        </w:rPr>
        <w:t>E. 6.2</w:t>
      </w:r>
    </w:p>
    <w:p>
      <w:r>
        <w:t>Nach Prüfung der Akten gelangt das Bundesverwaltungsgericht in Übereinstimmung mit dem BFM zum Schluss, dass die Beschwerdeführerin nicht auf den Schutz der Schweiz angewiesen ist. In diesem Zusammenhang kann vollumfänglich auf die zutreffenden Ausführungen in der angefochtenen Verfügung verwiesen werden. Bei der Durchsicht der Beschwerde ­- in der im Wesentlichen der bereits im vorinstanzlichen Verfahren dargelegte Sachverhalt wiederholt wird - fällt auf, dass die Beschwerdeführerin erneut vergleichsweise ausführlich über ihre Abstammung berichtet. Die Schilderung ihrer Haft erfolgte hingegen sehr knapp und oberflächlich. Die Ausführungen betreffend die Zeit nach der Entlassung lassen schliesslich - wie bereits im vorinstanzlichen Verfahren ­- jegliche Realkennzeichen vermissen, konkretisiert die Beschwerdeführerin doch keine einzige der angeblich erfahrenen Schwierigkeiten. Die geltend gemachten Nachteile können ihr somit nicht geglaubt werden. Nachdem davon auszugehen ist, dass die Beschwerdeführerin in Äthiopien keine Verfolgung erlitten hat respektive inskünftig keine Verfolgung zu befürchten hat, ist die Zumutbarkeit der Inanspruchnahme von Schutz im Sudan nicht zu prüfen. Unter diesen Umständen hat das BFM der Beschwerdeführerin zu Recht die Erteilung einer Einreisebewilligung verweigert und das Asylgesuch abgelehnt.</w:t>
      </w:r>
    </w:p>
    <w:p>
      <w:r>
        <w:rPr>
          <w:b/>
        </w:rPr>
        <w:t>E. 7</w:t>
      </w:r>
    </w:p>
    <w:p>
      <w:r>
        <w:t>Aus diesen Erwägungen ergibt sich, dass die angefochtene Verfügung an keinem nach Art. 106 Abs. 1 AsylG rügbaren Mangel leidet. Die Beschwerde ist mithin abzuweisen.</w:t>
      </w:r>
    </w:p>
    <w:p>
      <w:r>
        <w:rPr>
          <w:b/>
        </w:rPr>
        <w:t>E. 8</w:t>
      </w:r>
    </w:p>
    <w:p>
      <w:r>
        <w:t>Bei diesem Ausgang des Verfahrens wären die Kosten grundsätzlich der Beschwerdeführerin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