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E-6400/2014 vom 11. März 2015</w:t>
      </w:r>
    </w:p>
    <w:p>
      <w:r>
        <w:t>Bundesverwaltungsgericht, 2015-03-11, DE</w:t>
      </w:r>
    </w:p>
    <w:p>
      <w:r>
        <w:rPr>
          <w:b/>
        </w:rPr>
        <w:t xml:space="preserve">Quelle: </w:t>
      </w:r>
      <w:r>
        <w:t>https://mcp.opencaselaw.ch/entscheid/bvger_E-6400_2014</w:t>
      </w:r>
    </w:p>
    <w:p>
      <w:r>
        <w:t>FR: TAF E-6400/2014 du 11 mars 2015</w:t>
      </w:r>
    </w:p>
    <w:p>
      <w:r>
        <w:t>IT: TAF E-6400/2014 del 11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 12, 19, 20, 41 Abs. 2, 52 und 68 in der bisherigen Fassung des Asylgesetzes Geltung haben.</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aArt. 19 AsylG konnte ein Asylgesuch im Ausland bei einer Schweizerischen Vertretung gestellt werden, welche es mit einem Bericht an das Bundesamt überwies (aArt. 20 Abs. 1 AsylG). Die Vertretung führte mit der asylsuchenden Person in der Regel eine Befragung durch (aArt. 10 Abs. 1 der Asylverordnung 1 vom 11. August 1999 über Verfahrensfragen [AsylV 1, SR 142.311]). War dies nicht möglich, so wurde die asylsuchende Person aufgefordert, ihre Asylgründe schriftlich festzuhalten (aArt. 10 Abs. 2 AsylV 1). Eine Befragung konnte sich erübrigen, wenn der Sachverhalt bereits aufgrund des eingereichten Asylgesuchs entscheidreif erstellt ist; der asylsuchenden Person ist aber diesfalls das rechtliche Gehör zum absehbaren negativen Entscheid zu gewähren (vgl. BVGE 2007/30 E. 5.7 f.).</w:t>
      </w:r>
    </w:p>
    <w:p>
      <w:r>
        <w:rPr>
          <w:b/>
        </w:rPr>
        <w:t>E. 4.2</w:t>
      </w:r>
    </w:p>
    <w:p>
      <w:r>
        <w:t>Vorliegend wurden die Beschwerdeführenden aus Kapazitätsgründen nicht zu ihren Asylgesuchen befragt. Das BFM stellte vor diesem Hintergrund in der Zwischenverfügung vom 7. Dezember 2012 fest, der entscheidwesentliche Sachverhalt werde als erstellt erachtet, und es erwäge, die Asylgesuche abzulehnen sowie die Einreisebewilligung zu verweigern. Gleichzeitig gab es ihnen Gelegenheit zur Einreichung einer schriftlichen Stellungnahme, welche innert Frist einging. Mit dieser Vorgehensweise hat das Bundesamt den Anforderungen an die Feststellung des rechtserheblichen Sachverhalts Genüge getan. In der Beschwerde rügen die Beschwerdeführenden denn auch keine Verletzung ihrer prozessualen Rechte. Es ist somit in materieller Hinsicht zu prüfen, ob das BFM ihnen zu Recht die Einreise in die Schweiz verweigert hat.</w:t>
      </w:r>
    </w:p>
    <w:p>
      <w:r>
        <w:rPr>
          <w:b/>
        </w:rPr>
        <w:t>E. 5.1</w:t>
      </w:r>
    </w:p>
    <w:p>
      <w:r>
        <w:t>Das BFM beziehungsweise SEM kann ein im Ausland gestelltes Asylgesuch ablehnen, wenn die asylsuchende Person keine Verfolgung glaubhaft machen oder ihr die Aufnahme in einem Drittstaat zugemutet werden kann (Art. 3, Art. 7 und aArt. 52 Abs. 2 AsylG). Gemäss aArt. 20 Abs. 2 AsylG wird Asylsuchenden die Einreise zur Abklärung des Sachverhalts bewilligt, wenn ihnen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 S. 131 ff.). Ausschlaggebend für die Erteilung der Einreisebewilligung ist dabei die Schutzbedürftigkeit der betreffenden Person (vgl. EMARK 1997 Nr. 15 E. 2c S. 130), mithin die Prüfung der Fragen, ob eine Gefährdung im Sinne von Art. 3 AsylG glaubhaft ist und der Verbleib am Aufenthaltsort für die Dauer der Sachverhaltsabklärung zugemutet werden kann.</w:t>
      </w:r>
    </w:p>
    <w:p>
      <w:r>
        <w:rPr>
          <w:b/>
        </w:rPr>
        <w:t>E. 6.1</w:t>
      </w:r>
    </w:p>
    <w:p>
      <w:r>
        <w:t>Zur Begründung des angefochtenen Entscheides erwog die Vorin­stanz, die Beschwerdeführenden würden keine besonders nahe Beziehung zur Schweiz geltend machen. Unter diesen Umständen sei ihnen zuzumuten, in einem anderen Land um Asyl nachzusuchen, beispielsweise in einem der Nachbarstaaten von Kolumbien. Die meisten Staaten Südamerikas hätten die Flüchtlingskonvention ratifiziert und würden sich gemäss den Erkenntnissen der Vorinstanz an die damit verbundenen Verpflichtungen halten. So seien beispielsweise die Nachbarstaaten Brasilien, Ecuador, Panama und Peru Vertragsparteien sowohl des Abkommens vom 28. Juli 1951 über die Rechtsstellung der Flüchtlinge (FK, SR 0.142.30) als auch des betreffenden Zusatzprotokolls vom 31. Januar 1967; Venezuela habe zwar das Abkommen nicht ratifiziert, wohl aber das Protokoll. Diese Länder würden über ein eigenes, gesetzlich geregeltes Verfahren zur Anerkennung von Flüchtlingen verfügen. In Argentinien und Brasilien existiere ein formelles und gesichertes Asylverfahren. Es sei zudem relativ einfach, einen sonstigen Aufenthaltstitel in diesen beiden Ländern zu erhalten. In anderen Ländern im südamerikanischen Raum seien die Aufnahmebedingungen komplexer, jedoch seien auch dort die Voraussetzungen für eine dauerhafte Integration gegeben. Zudem würden sich die einzelnen Länder gemäss den Erkenntnissen der Vorinstanz grundsätzlich an das Non-Refoulement-Gebot von Art. 33 FK halten, auch wenn es in den Grenzgebieten - insbesondere denjenigen zu Panama und Venezuela - in den letzten Jahren zu unkontrollierten Rückschiebungen durch die Grenzbehörden gekommen sei. Für die praktische Möglichkeit und die Zumutbarkeit der anderweitigen Schutzsuche spreche im Weiteren die Möglichkeit der visumsfreien Einreise in die Nachbarländer Kolumbiens sowie der Umstand, dass jährlich mehrere tausend kolumbianische Staatsangehörige dort um Asyl ersuchen und zu einem beträchtlichen Teil als Flüchtlinge anerkannt würden. Diese Staaten seien überdies bereits aus geografischen, sprachlichen und kulturellen Gründen offensichtlich näherliegend. Zudem sei das Amt des Hohen Flüchtlingskommissars der Vereinten Nationen (UNHCR) vor Ort und gewähre Asylbewerbern und Flüchtlingen in den ersten Monaten wirtschaftliche Unterstützung. Die Länder des Cono Sur würden auch über staatliche Programme für Berufsbildung und wirtschaftliches Auskommen verfügen, das Gesundheitssystem sei kostenlos und die Schulbildung obligatorisch und unentgeltlich. Es sei deshalb zumutbar, dass die Beschwerdeführenden einen anderen Staat als die Schweiz um Schutz ersuchen würden. Der Beschwerdeführer habe langjährige Berufserfahrung, die ihm beim Aufbau einer wirtschaftlichen Existenz im südamerikanischen Raum helfen werde. Zudem habe er Familienangehörige in Spanien und Italien, mit deren Hilfe er sich um einen geregelten Aufenthaltsstatus in diesen Ländern bemühen könne.</w:t>
      </w:r>
    </w:p>
    <w:p>
      <w:r>
        <w:rPr>
          <w:b/>
        </w:rPr>
        <w:t>E. 6.2</w:t>
      </w:r>
    </w:p>
    <w:p>
      <w:r>
        <w:t>Nach allgemeinen Ausführungen zu Neuerungen im schweizerischen Asylsystem und der Bitte, das Bundesverwaltungsgericht möge die Menschenrechte über migrationspolitische Reformen stellen, wird in der Beschwerde vorgebracht, trotz Anzeigen bei der Generalstaatsanwaltschaft, der Staatsanwaltschaft für öffentliche Angestellte, der Personería (für Menschenrechte zuständige städtische Einrichtung) von Santiago de Cali, der Ombudsstelle von Santiago de Cali, dem UNHCR-Büro in Bogotá, der nationalen Polizei und der Unidad Nacional de Protección (UNP; nationale Einheit zum Schutz von gefährdeten Personen) sei ihr Fall bisher nicht gelöst worden. Am 9. August 2012 hätten sie sich an das UNHCR in Bogotá gewandt, seien jedoch in der Folge nie kontaktiert worden. Sie würden einen Angriff auf ihr Leben befürchten, da die Person, welche der Beschwerdeführerin nach der Arbeit gefolgt sei, vermutlich der Polizei angehöre, und man ihnen geraten habe, darüber zu schweigen. Die Generalstaatsanwaltschaft habe ihnen kein Ermittlungsergebnis mitgeteilt, und sie befürchteten Repressalien von Mitarbeitern, deren Verbindung zu paramilitärischen Gruppierungen sie angezeigt hätten. Da sie vom Staat keinen Schutz erhalten hätten, müssten sie eingesperrt und versteckt leben. Die erlittenen Drohungen und Angriffe auf den Beschwerdeführer hätten bei ihm eine gemischte Angst und depressive Störung (ICD-10 F41.2) hervorgerufen. Sie seien sehr besorgt über den Entscheid der UNP, ihnen trotz der Empfehlung der Polizei keinen Schutz zu gewähren. Der Beschwerdeführer sei bereits einmal nach Venezuela geflüchtet und habe dort beim UNHCR um Asyl ersucht. Er sei jedoch nie in ein Empfangszentrum gekommen, habe keine medizinische Hilfe erhalten, und habe sich unsicher gefühlt, da er Leute aus seiner Heimatstadt gesehen habe, welche ihn verfolgt hätten. Der Termin, um sich in Venezuela als Flüchtling registrieren zu lassen, wäre erst drei Monate später gewesen. Er sei von den Behörden kontrolliert und darauf hingewiesen worden, dass er weder frei herumreisen noch Arbeit suchen dürfe. Man habe ihn schlecht behandelt, ihn an die Grenze zurückgestellt und aufgefordert, das Land zu verlassen. Aufgrund dieser Erfahrung und weil sie in anderen südamerikanischen Länder aufgrund der Nähe zu Kolumbien von ihren Verfolgern aufgespürt werden könnten, möchten die Beschwerdeführenden dort nicht um Schutz nachsuchen. Sie seien bisher aufgrund der psychischen Erkrankung des Beschwerdeführers nicht aus dem Land geflüchtet, da er sich regelmässigen Kontrollen unterziehen und Medikamente gegen seine Angst und Depression einnehmen müsse. Sie hätten der Vorinstanz nie Informationen vorenthalten und ihre Identitätsdokumente vorgewiesen, sie seien nicht vorbestraft und stellten keine Gefahr für die Gesellschaft dar. Hinsichtlich der Beziehungsnähe zur Schweiz seien sie der Ansicht, dass die Sprache und Kultur längerfristig kein Problem darstellen würden, da sie diese erlernen und sich in die Gesellschaft integrieren würden. Die Beschwerdeführenden beantragen, ihr Asylgesuch sei durch die Schweiz zu prüfen, zumal gemäss den Regeln des Dublin-Systems ein solcher Antrag nur von einem einzigen europäischen Staat geprüft werde. Sodann habe man dem Beschwerdeführer bei der Einreichung des Asylgesuches nicht gesagt, dass dies bei der Botschaft nicht möglich sei. Er ersuche darum, seinen Antrag nach altem Recht zu behandeln.</w:t>
      </w:r>
    </w:p>
    <w:p>
      <w:r>
        <w:rPr>
          <w:b/>
        </w:rPr>
        <w:t>E. 7.1</w:t>
      </w:r>
    </w:p>
    <w:p>
      <w:r>
        <w:t>Nach Prüfung der Akten gelangt das Bundesverwaltungsgericht zu­nächst zum Schluss, dass die Vorinstanz zutreffend festgestellt hat, dass die Beschwerdeführenden in ihrem Gesuch keine besonders nahen Be­ziehungen zur Schweiz geltend gemacht haben. In der Beschwerde bekunden sie zwar ihre Motivation, sich mit der Sprache und Kultur vertraut zu machen und in der Schweiz zu integrieren, eine bestehende Beziehung zur Schweiz oder zu in der Schweiz lebenden Personen behaupten sie indessen nicht.</w:t>
      </w:r>
    </w:p>
    <w:p>
      <w:r>
        <w:rPr>
          <w:b/>
        </w:rPr>
        <w:t>E. 7.2</w:t>
      </w:r>
    </w:p>
    <w:p>
      <w:r>
        <w:t>Im Weiteren hat die Vorinstanz zu Recht auf die Tatsache verwiesen, dass mehrere Nachbarstaaten Kolumbiens sowohl die FK als auch das entsprechende Zusatzprotokoll vom 31. Januar 1967 ratifiziert haben, die visumsfreie Einreise ermöglichen und über ein eigenes, gesetzlich geregeltes Verfahren zur Anerkennung von Flüchtlingen verfügen (vgl. dazu EMARK 2004 Nr. 20 E. 4a). Die lateinamerikanischen Staaten haben zusätzlich die Erklärung von Cartagena von 22 November 1984 (Decla­ración de Cartagena sobre los Refugiados) unterzeichnet, welche Vereinbarung sowohl eine Erweiterung des Flüchtlingsbegriffs gemäss FK wie auch die Selbstverpflichtung der 28 Staaten zur Errichtung asylrechtlicher Verfahren und adäquater Unterbringung und Integration der Flüchtlinge enthält. Zwar leben die kolumbianischen Flüchtlinge in den Nachbarstaaten Kolumbiens zum Teil in misslichen Verhältnissen. Daraus kann aber nicht per se auf die Unzumutbarkeit einer Schutzsuche in diesen Ländern geschlossen werden, zumal die Regierungen Ecuadors, Venezuelas, Panamas und Perus mit dem UNHCR kooperieren, um den Schutz für Flüchtlinge und Asylsuchende zu gewährleisten (vgl. etwa US State Department, Human Rights Reports 2012). Im Weiteren haben die Beschwerdeführenden auch keine stichhaltigen Argumente gegen eine Schutzsuche in den weiteren von der Vorinstanz genannten südamerikanischen Ländern (Argentinien, Uruguay, Bolivien) vorgebracht, zu welchen sie aus sprachlichen und kulturellen Gründen im Gegensatz zur Schweiz einen Bezug hätten. Auch ausserhalb von formellen Asylverfahren ist im süd- und zentralamerikanischen Raum nach Kenntnis des Bundesverwaltungsgerichts die Möglichkeit zu einer Einreise weitgehend vorhanden, und für Kolumbianerinnen und Kolumbianer sind die Chancen auf ein dauerhaftes Bleiberecht in verschiedenen Ländern intakt. Der Beschwerdeführer verweist auf seine psychische Erkrankung, welche ihm eine Ausreise aus Kolumbien verunmögliche. Diesbezüglich ist festzuhalten, dass die Notwendigkeit der regelmässigen ärztlichen Kontrolle und Einnahme von Medikamenten eine Ausreise zwar erschweren kann und der Zugang zu adäquater medizinischer Versorgung in einem anderen südamerikanischen Land zumindest anfänglich erschwert sein dürfte. Die medizinische Grundversorgung ist in diesen Ländern jedoch gewährleistet, und es kann davon ausgegangen werden, dass die Erkrankung des Beschwerdeführers dort angemessen behandelt werden kann. Letztlich lässt sich aus der negativen Erfahrung des Beschwerdeführers in Venezuela nichts zu seinen Gunsten ableiten. Dass er, nachdem er sich als Flüchtling gemeldet hatte, nicht frei im Land herumreisen und Arbeit suchen konnte, ist eine im Rahmen eines Asylverfahrens legitime Massnahme des venezolanischen Staates, welche ähnlichen Regelungen in der Asylgesetzgebung anderer Länder entspricht. Zudem hat er das Land offenbar vorzeitig verlassen und den angesetzten Termin zur Registrierung als Flüchtling nicht wahrgenommen. Rückschlüsse auf fehlende Schutzfähigkeit oder fehlenden Schutzwillen Venezuelas sind daher nicht möglich. Im Übrigen besteht, wie bereits ausgeführt, die Möglichkeit der Schutzsuche in anderen Ländern der Region. Es ist den Beschwerdeführenden nach dem Gesagten zuzumuten, in einem anderen Land um Asyl nachzusuchen (Art. 52 Abs. 2 AsylG).</w:t>
      </w:r>
    </w:p>
    <w:p>
      <w:r>
        <w:rPr>
          <w:b/>
        </w:rPr>
        <w:t>E. 7.3</w:t>
      </w:r>
    </w:p>
    <w:p>
      <w:r>
        <w:t>Damit steht fest, dass die Beschwerdeführenden über keine Beziehungsnähe zur Schweiz verfügen und die Möglichkeit einer anderweitigen Schutzsuche haben. Bei dieser Sachlage kann die Frage, ob sie in Kolumbien tatsächlich einer Verfolgung im Sinne von Art. 3 AsylG ausgesetzt sind und ob sich diese auf das gesamte Staatsgebiet erstreckt, offenbleiben. Das BFM hat den Beschwerdeführenden daher zu Recht die Einreise in die Schweiz verweigert und die Asylgesuche abgelehnt.</w:t>
      </w:r>
    </w:p>
    <w:p>
      <w:r>
        <w:rPr>
          <w:b/>
        </w:rPr>
        <w:t>E. 7.4</w:t>
      </w:r>
    </w:p>
    <w:p>
      <w:r>
        <w:t>Der Vollständigkeit halber wird an dieser Stelle darauf hingewiesen, dass vorliegend das Dublin-Vertragswerk nicht zur Anwendung gelangen wird: Da das Botschaftsgelände nicht als Hoheitsgebiet der Schweiz betrachtet wird, fällt ein bei einer schweizerischen Vertretung im Ausland eingereichtes Asylgesuch nicht in den Anwendungsbereich der Dublin-III-VO. Für eine allfällige spätere Bestimmung des zuständigen Mitgliedstaates gemäss Dublin-III-VO würde das vorliegende Asylgesuch aus dem Ausland somit nicht berücksichtigt (vgl. BVGE 2011/26 E. 4). Schliesslich werden die Beschwerdeführenden darauf aufmerksam gemacht, dass die Vorinstanz in Anwendung der mittlerweile aufgehobenen Bestimmungen entschieden hat, welche auch im vorliegenden Entscheid angewendet werden (vgl. E. 1.3 vorstehend). Die nach Einreichung ihres Asylgesuches in Kraft getretene Rechtsänderung hat demnach entgegen der Befürchtung der Beschwerdeführenden keine negativen Auswirkungen auf ihr Asylverfahren.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grundsätzlich den Beschwerdeführenden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