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E-63/2015 vom 9. Februar 2015</w:t>
      </w:r>
    </w:p>
    <w:p>
      <w:r>
        <w:t>Bundesverwaltungsgericht, 2015-02-09, FR</w:t>
      </w:r>
    </w:p>
    <w:p>
      <w:r>
        <w:rPr>
          <w:b/>
        </w:rPr>
        <w:t xml:space="preserve">Quelle: </w:t>
      </w:r>
      <w:r>
        <w:t>https://mcp.opencaselaw.ch/entscheid/bvger_E-63_2015</w:t>
      </w:r>
    </w:p>
    <w:p>
      <w:r>
        <w:t>FR: TAF E-63/2015 du 9 février 2015</w:t>
      </w:r>
    </w:p>
    <w:p>
      <w:r>
        <w:t>IT: TAF E-63/2015 del 9 febbraio 2015</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pertinence de ses motifs, ni la haute probabilité d'avoir été exposée, au moment de son départ, à un risque de persécution, ni celle de l'être en cas de retour. Il est exact que depuis le début des combats en Syrie, le gouvernement s'est appuyé sur la minorité alaouite, qui comprend environ 13% de la population et dont sont issus la plupart de ses cadres et partisans ; parallèlement, la majorité sunnite, réunissant les trois quarts des Syriens, a fourni la plupart des effectifs des mouvements armés visant le renversement du régime. En conséquence, les sunnites sont effectivement considérés par celui-ci comme globalement hostiles et tenus en suspicion, et donc particulièrement surveillés (cf. Integreted Regional Information Networks [IRIN], Analyse : les violences religieuses en Syrie créent une ségrégation entre sunnites et alaouites, juin 2013 ; US State Department, International Religious Freedom Report, Washington, 2014 ; Commission de l'immigration et du statut de réfugié de Canada, Réponse aux demandes d'information, juin 2013, sous http://irb-cisr.gc.ca/Fra/ResRec/RirRdi /Pages/index. aspx?doc=454621, consulté le 28 janvier 2015). Cette dimension religieuse du conflit prenant de plus en plus d'importance, une séparation de fait des populations est en train de s'opérer, les Alaouites se regroupant dans la zone littorale, où ils sont majoritaires, et les Sunnites fuyant cette région.</w:t>
      </w:r>
    </w:p>
    <w:p>
      <w:r>
        <w:rPr>
          <w:b/>
        </w:rPr>
        <w:t>E. 3.2</w:t>
      </w:r>
    </w:p>
    <w:p>
      <w:r>
        <w:t>Dans ce contexte, la recourante peut en effet à bon droit se sentir en butte à la surveillance des autorités syriennes, et à l'animosité des Alaouites, majoritaires dans la région de D._______. Cela étant, le fait que les Sunnites soient demeurés nombreux, y compris dans la zone littorale (10% de la population dans la province de D._______), et ne soient pas unanimement hostiles au régime, exclut en pratique qu'ils soient tous exposés à un risque de persécution ; un tel risque pèse avant tout sur ceux qui se sont signalés plus spécialement à l'attention des autorités, ou occupent une position en vue au sein de leur communauté. Dans le cas de la recourante, force est de constater que ce risque théorique ne s'est pas concrétisé, et qu'elle ne s'est en pratique pas trouvée exposée à la persécution, appréciation qui peut être déduite de ses dires eux-mêmes. En effet, ses rapports avec ses collègues de travail alaouites se sont dégradés, et elle s'est sentie soumise à la surveillance des services de renseignement ; en conséquence, elle a dû s'abstenir de faire état de ses opinions sur la situation en Syrie. Aussi déplaisante qu'ait été cette situation, on ne peut cependant la qualifier de persécution, l'intéressée n'ayant subi aucun préjudice direct. A la clôture de son audition par l'ODM, elle a en effet décrit, de manière synthétique, les difficultés qu'elle avait rencontrées (cf. audition du 27 juin 2014, question 121) ; aucune des problèmes ainsi décrits, faute d'intensité, ne remplit cependant les conditions d'application de l'art. 3 LAsi. De la même manière, les pressions psychiques dont l'intéressée dit avoir été victime n'auraient pas atteint le degré d'intensité permettant de les qualifier d'insupportables. Une telle hypothèse supposerait en effet qu'elle ait été la victime de mesures systématiques constituant des atteintes graves ou répétées à des libertés et des droits fondamentaux et, qu'au regard d'une appréciation objective, celles-ci aient atteint une intensité et un degré tels qu'elles auraient rendu impossible, ou difficilement supportable, la poursuite de la vie ou d'une existence conforme à la dignité humaine, de telle sorte que n'importe quelle personne confrontée à une situation analogue aurait été contrainte de fuir le pays (cf. ATAF 2010/28 consid. 3.3.1.1 p. 400-401 et réf. cit.). La description des événements faite par la recourante ne correspond pas à ce tableau. Par ailleurs, force est de constater que les menaces dirigées contre son fils, très antérieures à son départ, n'auraient pas eu de suites ; en effet, un déménagement aurait suffi à y mettre fin. De même, l'arrestation de son époux, consécutive à son départ de Syrie, se serait finalement soldée par une libération, et n'aurait pas entraîné d'autres conséquences.</w:t>
      </w:r>
    </w:p>
    <w:p>
      <w:r>
        <w:rPr>
          <w:b/>
        </w:rPr>
        <w:t>E. 3.3</w:t>
      </w:r>
    </w:p>
    <w:p>
      <w:r>
        <w:t>Il apparaît en outre que l'intéressée n'est pas partie de manière précipitée, pour échapper à une menace imminente, mais a préparé à loisir son départ, qui s'est fait au su des autorités syriennes. En effet, elle a obtenu du ministère de la Santé une autorisation de délivrance d'un passeport, puis un congé officiel. Elle s'est ensuite rendue une première fois à Beyrouth pour demander un visa suisse, puis est revenue à D._______, avant de retourner au Liban après quelques jours. Rien n'indique donc que la recourante ait été particulièrement menacée au moment de son départ. Aucun élément n'indique par ailleurs qu'elle ait été finalement licenciée de son poste pour un autre motif que son absence prolongée.</w:t>
      </w:r>
    </w:p>
    <w:p>
      <w:r>
        <w:rPr>
          <w:b/>
        </w:rPr>
        <w:t>E. 3.4</w:t>
      </w:r>
    </w:p>
    <w:p>
      <w:r>
        <w:t>Enfin, l'intéressée allègue avoir participé, en Suisse, à des manifestations hostile au régime syrien, demandant ainsi implicitement la reconnaissance de sa qualité de réfugiée (art. 54 LAsi). Cette participation n'est toutefois aucunement documentée, et la recourante n'a fourni aucun élément de nature à établir la réalité d'un engagement politique après son arrivée ; en conséquence, une telle reconnaissance n'entre pas en ligne de compte.</w:t>
      </w:r>
    </w:p>
    <w:p>
      <w:r>
        <w:rPr>
          <w:b/>
        </w:rPr>
        <w:t>E. 3.5</w:t>
      </w:r>
    </w:p>
    <w:p>
      <w:r>
        <w:t>Il s'ensuit que le recours, en tant qu'il conteste le refus de l'asile et la non-reconnaissance de la qualité de réfugié,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 Quant à son exécution, le Tribunal constate que l'ODM a exclu le refoule­ment de l'intéressée et de son enfant dans leur pays d'origine et a prononcé leur admission provisoire. Cette question n'a donc pas à être tranchée.</w:t>
      </w:r>
    </w:p>
    <w:p>
      <w:r>
        <w:rPr>
          <w:b/>
        </w:rPr>
        <w:t>E. 5</w:t>
      </w:r>
    </w:p>
    <w:p>
      <w:r>
        <w:t>La recourante ayant été mise au bénéfice de l'assistance judiciaire partielle, il n'est pas perçu de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