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E-63/2014 vom 9. April 2014</w:t>
      </w:r>
    </w:p>
    <w:p>
      <w:r>
        <w:t>Bundesverwaltungsgericht, 2014-04-09, DE</w:t>
      </w:r>
    </w:p>
    <w:p>
      <w:r>
        <w:rPr>
          <w:b/>
        </w:rPr>
        <w:t xml:space="preserve">Quelle: </w:t>
      </w:r>
      <w:r>
        <w:t>https://mcp.opencaselaw.ch/entscheid/bvger_E-63_2014</w:t>
      </w:r>
    </w:p>
    <w:p>
      <w:r>
        <w:t>FR: TAF E-63/2014 du 9 avril 2014</w:t>
      </w:r>
    </w:p>
    <w:p>
      <w:r>
        <w:t>IT: TAF E-63/2014 del 9 aprile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3.2</w:t>
      </w:r>
    </w:p>
    <w:p>
      <w:r>
        <w:t>Die Vorinstanz führte zur Begründung ihrer angefochtenen Verfügung nach einer kurzen Abhandlung der Prozessgeschichte lediglich aus, es entspreche der Aktenlage, dass der Beschwerdeführer aktuell keiner Arbeit nachgehe und (...) mit Sozialhilfe unterstützt werden müsse. Damit sei das Gesuch um Familiennachzug abzulehnen, und seiner Frau und dem Kind sei die Einreise in die Schweiz nicht zu bewilligen. Der Beschwerdeführer macht geltend, der Entscheid enthalte keine Ermessensausübung und berücksichtige die Tatsache nicht, dass es ihm aus gesundheitlichen Gründen nahezu unmöglich sei, eine ausreichend bezahlte Arbeit zu finden und eine solche auf Dauer auszuüben.</w:t>
      </w:r>
    </w:p>
    <w:p>
      <w:r>
        <w:rPr>
          <w:b/>
        </w:rPr>
        <w:t>E. 3.3</w:t>
      </w:r>
    </w:p>
    <w:p>
      <w:r>
        <w:t>Tatsächlich finden sich in der knapp zweiseitigen Verfügung keine Erwägungen zum Gesundheitszustand des Beschwerdeführers. In den vor-instanzlichen Akten ist indessen dokumentiert, dass dieser im (...) wegen eines Hirntumors operiert wurde, eine Radio- und Chemotherapie machte und wegen epileptischer Anfälle Medikamente einnehmen musste (vgl. Akten BFM A18/1, A24/2, A26/2, A28/5, A30/1, A35/2 sowie nicht paginierte B-Akte vom 28. Februar 2012). Die schwere Krankheit des Beschwerdeführers war dem Bundesamt somit bekannt. In seinem Gesuch um Familiennachzug vom 19. September 2013 wies er - wenn auch nur kurz - auf seine gesundheitliche Instabilität hin, und in der Stellungnahme vom 15. November 2013 führte er aus, ein Praktikum absolviert zu haben, um nach längerer Krankheit seine Arbeitsbelastung zu testen; er reichte diesbezüglich die Kopie eines Arztberichtes (...) ein.</w:t>
      </w:r>
    </w:p>
    <w:p>
      <w:r>
        <w:rPr>
          <w:b/>
        </w:rPr>
        <w:t>E. 3.4</w:t>
      </w:r>
    </w:p>
    <w:p>
      <w:r>
        <w:t>Gemäss Art. 85 Abs. 7 AuG (SR 142.20) können Ehegatten und ledige Kinder unter 18 Jahren von vorläufig aufgenommenen Personen und vorläufig aufgenommenen Flüchtlingen frühestens drei Jahre nach Anordnung der vorläufigen Aufnahme nachgezogen und in diese eingeschlossen werden, wenn: a. sie mit diesen zusammenwohnen, b. eine bedarfsgerechte Wohnung vorhanden ist, und c. die Familie nicht auf Sozialhilfe angewiesen ist. In einem zweiten Schritt ist beim endgültigen Ent-scheid über den Familiennachzug zusätzlich eine Prüfung der Verhältnismässigkeit im Sinne von Art. 96 AuG vorzunehmen (vgl. Urteil des Bundesverwaltungsgerichts D-3822/2013 vom 30. Januar 2014 E. 4.5 ff.; Benjamin Schindler in: Caroni/ Gächter/ Thurnherr, Bundesgesetz über die Ausländerinnen und Ausländer, 2010, N 2 zu Art. 96), wobei die zuständigen Behörden gemäss Abs. 1 dieser Gesetzbestimmung bei der Ermessensausübung die öffentlichen Interessen und die persönlichen Verhältnisse sowie den Grad der Integration der Ausländerinnen und Ausländer berücksichtigen. Weiter kann sich bei besonderen Konstellationen wie beispielsweise einer dauerhaften Arbeitsunfähigkeit die Frage stellen, ob die Verweigerung des Familiennachzuges eine Verletzung von Art. 14 i.V.m. Art. 8 EMRK darstellt (vgl. Urteil des Bundesverwaltungsgerichts E-1339/2010 vom 24. Juli 2013 E. 5 ff.).</w:t>
      </w:r>
    </w:p>
    <w:p>
      <w:r>
        <w:rPr>
          <w:b/>
        </w:rPr>
        <w:t>E. 3.5</w:t>
      </w:r>
    </w:p>
    <w:p>
      <w:r>
        <w:t>Wie in Erwägung 3.3 vorstehend ausgeführt, war die schwere Krankheit des Beschwerdeführers dem BFM bekannt Dieser führte zwar in seiner Stellungnahme vom 15. November 2013 aus, er traue sich zu, eine Erwerbsarbeit zu finden, wies aber gleichzeitig auf seine "längere Krankheitsgeschichte" hin. Aus der angefochtenen Verfügung geht jedoch nicht hervor, dass sich das BFM mit der besonderen gesundheitlichen Situation des Beschwerdeführers auseinandergesetzt hätte. Das Bundesamt hat damit seine Begründungspflicht verletzt.</w:t>
      </w:r>
    </w:p>
    <w:p>
      <w:r>
        <w:rPr>
          <w:b/>
        </w:rPr>
        <w:t>E. 4</w:t>
      </w:r>
    </w:p>
    <w:p>
      <w:r>
        <w:t>Nach dem Gesagten ist die Beschwerde gutzuheissen, die angefochtene Verfügung aufzuheben und die Sache an die Vorinstanz zurückzuweisen.</w:t>
      </w:r>
    </w:p>
    <w:p>
      <w:r>
        <w:rPr>
          <w:b/>
        </w:rPr>
        <w:t>E. 5.1</w:t>
      </w:r>
    </w:p>
    <w:p>
      <w:r>
        <w:t>Bei diesem Ausgang des Verfahrens sind keine Kosten zu erheben (Art. 63 Abs. 2 und 3 VwVG).</w:t>
      </w:r>
    </w:p>
    <w:p>
      <w:r>
        <w:rPr>
          <w:b/>
        </w:rPr>
        <w:t>E. 5.2</w:t>
      </w:r>
    </w:p>
    <w:p>
      <w:r>
        <w:t>Gemäss Art. 7 des Reglements vom 21. Februar 2008 über die Kosten und Entschädigungen vor dem Bundesverwaltungsgericht [VGKE, SR 173.320.2] hat eine obsiegende Partei Anspruch auf eine Parteientschädigung für die ihr erwachsenen notwendigen Kosten. Da dem nicht vertretenen Beschwerdeführer keine erheblichen Kosten entstanden sein dürften, ist von der Ausrichtung einer Parteientschädigung abzusehen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