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E-6390/2013 vom 18. Dezember 2013</w:t>
      </w:r>
    </w:p>
    <w:p>
      <w:r>
        <w:t>Bundesverwaltungsgericht, 2013-12-18, DE</w:t>
      </w:r>
    </w:p>
    <w:p>
      <w:r>
        <w:rPr>
          <w:b/>
        </w:rPr>
        <w:t xml:space="preserve">Quelle: </w:t>
      </w:r>
      <w:r>
        <w:t>https://mcp.opencaselaw.ch/entscheid/bvger_E-6390_2013</w:t>
      </w:r>
    </w:p>
    <w:p>
      <w:r>
        <w:t>FR: TAF E-6390/2013 du 18 décembre 2013</w:t>
      </w:r>
    </w:p>
    <w:p>
      <w:r>
        <w:t>IT: TAF E-6390/2013 del 18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 Der Zeitpunkt der Eröffnung der angefochtenen Verfügung steht mangels Lesbarkeit des Rückscheins nicht fest. Aus den Akten ist ersichtlich, dass die vorinstanzliche Verfügung vom 29. August 2013 von der Botschaft mit Schreiben vom 13. September 2013 versandt wurde, und die Be­schwerdeeingabe am 25. Oktober 2013 bei der Botschaft eintraf. Damit steht nicht mit Sicherheit fest, ob die Be­schwerde rechtzeitig eingereicht worden ist. Da indessen die Beweislast für die Zustellung an die Partei der eröffnenden Behörde obliegt (vgl. André Moser/Michael Beusch/Lorenz Kneubühler, Prozessieren vor dem Bundesverwaltungs­gericht, Basel 2013, Rz. 2.112, S. 76), ist nach dem Gesagten zugunsten des Beschwerdeführers davon auszugehen, dass die Beschwerde rechtzeitig erfolgt ist. Auf die damit frist- und im übrigen formgerecht eingereichte Beschwerde ist einzutreten (Art. 108 AsylG sowie Art. 105 AsylG i.V.m. 37 VGG und Art. 48 Abs. 1 und Art. 52 VwVG).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w:t>
      </w:r>
    </w:p>
    <w:p>
      <w:r>
        <w:t>Mit der Änderung des Asylgesetzes vom 28. September 2012 - von der Bundesversammlung als dringlich erklärt, am 29. September 2012 in Kraft getreten und in der Volksabstimmung vom 9. Juni 2013 bestätigt -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des Gesetzes gelten. Wird demnach nachfolgend auf das AsylG oder Verordnungstexte verwiesen, bezieht sich dies stets auf die bisherige Fassung der entsprechenden Bestimmungen.</w:t>
      </w:r>
    </w:p>
    <w:p>
      <w:r>
        <w:rPr>
          <w:b/>
        </w:rPr>
        <w:t>E. 4</w:t>
      </w:r>
    </w:p>
    <w:p>
      <w:r>
        <w:t>Ein Asylgesuch kann gemäss Art. 19 Abs. 1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oder ihr die Aufnahme in einem Drittstaat zugemutet werden kann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w:t>
      </w:r>
    </w:p>
    <w:p>
      <w:r>
        <w:rPr>
          <w:b/>
        </w:rPr>
        <w:t>E. 6.1</w:t>
      </w:r>
    </w:p>
    <w:p>
      <w:r>
        <w:t>Das Bundesamt führte in der angefochtenen Verfügung aus, die Furcht des Beschwerdeführers vor einer zukünftigen Verfolgung sei bei objektiver Betrachtungsweise im Sinne des Asylgesetzes nicht begründet. Er sei im (...) offiziell aus der Haft entlassen worden. Somit würden keine Anhaltspunkte bestehen, dass er auf Grund seiner Aufenthalte in mehreren Camps in absehbarer Zukunft erneut staatlichen Verfolgungsmassnahmen ausgesetzt sein könnte. Lediglich aus dem Umstand eines Aufenthaltes in einem Rehabilitationscamp könne nicht abgeleitet werden, dass er zum heutigen Zeitpunkt von asylrelevanter Verfolgung bedroht sei. Zwar sei nicht auszuschliessen, dass er auch nach seiner Freilassung unter Beobachtung der sri-lankischen Behörden gestanden habe und zur Registrierung aufgefordert worden sei. Derartigen Massnahmen komme indessen aufgrund mangelnder Intensität kein Verfolgungscharakter zu. Wären die Behörden nach wie vor überzeugt gewesen, dass er in irgendeiner Weise eine Gefahr für die Sicherheit des sri-lankischen Staates darstellen würde, wäre er nach seiner Freilassung erneut inhaftiert worden. Bei offensichtlich fehlender Schutzbedürftigkeit sei darauf zu verzichten, auf allfällig vorhandene Unglaubhaftigkeitselemente in den Asylvorbringen einzugehen.</w:t>
      </w:r>
    </w:p>
    <w:p>
      <w:r>
        <w:rPr>
          <w:b/>
        </w:rPr>
        <w:t>E. 6.2</w:t>
      </w:r>
    </w:p>
    <w:p>
      <w:r>
        <w:t>Der Beschwerdeführer wiederholt in seiner Rechtsmitteleingabe die bereits vorgebrachten Asylgründe und führt ergänzend an, am (...) hätten Offiziere erneut seine Mutter aufgesucht und nach ihm gefragt. Er sei trotz seiner Haftentlassung in Gefahr, wieder festgenommen und inhaftiert zu werden.</w:t>
      </w:r>
    </w:p>
    <w:p>
      <w:r>
        <w:rPr>
          <w:b/>
        </w:rPr>
        <w:t>E. 7.1</w:t>
      </w:r>
    </w:p>
    <w:p>
      <w:r>
        <w:t>Die Einschätzung des BFM in der angefochtenen Verfügung, wonach sich aus dem zentralen Vorbringen des Beschwerdeführers, seit seiner Haftentlassung im (...) würden sich die sri-lankischen Behörden regelmässig nach ihm erkundigen, keine asylrelevante Gefährdungssituation ergebe, ist zu bestätigen.</w:t>
      </w:r>
    </w:p>
    <w:p>
      <w:r>
        <w:rPr>
          <w:b/>
        </w:rPr>
        <w:t>E. 7.2</w:t>
      </w:r>
    </w:p>
    <w:p>
      <w:r>
        <w:t>Mit der Vorinstanz ist festzuhalten, dass der Beschwerdeführer im (...) ohne Auflagen oder Bedingungen aus der Haft entlassen wurde, was bereits auf ein fehlendes Verfolgungsinteresse des sri-lankischen Staates schliessen lässt. Den Akten des BFM (vgl. A 5/13 Beilage 4) ist zudem zu entnehmen, dass der Beschwerdeführer vom C._______ ein Bestätigungsschreiben (...), ausgestellt am (...) "(...)", erhalten hat. Darin wird bestätigt, "(...)". Es ist vor dem Hintergrund dieses Dokumentes nicht nachvollziehbar, dass sich der Beschwerdeführer vor behördlichen Personenkontrollen fürchten müsste. Daran ändert auch nichts, dass die sri-lankischen Be­hörden - namentlich im Grossraum Colom­bo - die Si­cherheitsmass­nahmen nicht gelockert haben und daher die Möglichkeit besteht, überall und jederzeit einer minuziösen Personenkontrolle unterzogen und für ein­ge­hendere Abklärungen auf einen Posten mitgenommen oder in ein Armee­camp be­ordert zu werden. Solchen Mass­nahmen, denen ein grosser Teil der tamilischen Bevölkerung im gan­zen Land ausgesetzt ist, kommt aufgrund man­gelnder Intensität kein Ver­fol­gungscharakter im Sin­ne von Art. 3 AsylG zu (vgl. Urteil des Bundesverwaltungsgerichts D-6184/2013 vom 19. November 2013 E. 5.4 S. 6). Es gibt somit keine konkreten Anhaltspunkte für eine begründete Furcht vor künftiger Verfolgung. Diese Einschätzung wird durch den Umstand bestätigt, dass sich der Beschwerdeführer am (...) von den sri-lankischen Behörden einen Reisepass hat ausstellen lassen. Es hätte dies wohl kaum getan, wäre tatsächlich in der von ihm geltend gemachten Weise nach ihm gesucht worden.</w:t>
      </w:r>
    </w:p>
    <w:p>
      <w:r>
        <w:rPr>
          <w:b/>
        </w:rPr>
        <w:t>E. 7.3</w:t>
      </w:r>
    </w:p>
    <w:p>
      <w:r>
        <w:t>Der Beschwerdeführer vermag insgesamt nicht aufzuzeigen, dass er auf die Schutzgewährung durch die Schweiz angewiesen ist beziehungsweise ihm gerade die Schweiz den erforderlichen Schutz gewähren muss. Der weitere Verbleib in Sri Lanka ist ihm nach dem Gesagten zuzumuten. Im Übrigen ist auch eine Beziehungsnähe des Beschwerdeführers zur Schweiz zu verneinen (Art. 52 Abs. 2 AsylG). Es erübrigt sich, auf die weiteren Vorbringen in der Beschwerde und die eingereichten Beweismittel einzugehen, da diese keine Begründungselemente enthalten, welche geeignet wären, die Einschätzung des BFM entscheidend zu relativieren. Das Bundesamt hat demnach dem Beschwerdeführer zu Recht die Einreise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