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E-6386/2016 vom 20. Oktober 2016</w:t>
      </w:r>
    </w:p>
    <w:p>
      <w:r>
        <w:t>Bundesverwaltungsgericht, 2016-10-20, DE</w:t>
      </w:r>
    </w:p>
    <w:p>
      <w:r>
        <w:rPr>
          <w:b/>
        </w:rPr>
        <w:t xml:space="preserve">Quelle: </w:t>
      </w:r>
      <w:r>
        <w:t>https://mcp.opencaselaw.ch/entscheid/bvger_E-6386_2016</w:t>
      </w:r>
    </w:p>
    <w:p>
      <w:r>
        <w:t>FR: TAF E-6386/2016 du 20 octobre 2016</w:t>
      </w:r>
    </w:p>
    <w:p>
      <w:r>
        <w:t>IT: TAF E-6386/2016 del 20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Besitzt ein Antragsteller einen gültigen Aufenthaltstitel, so ist der Mitgliedstaat, der den Aufenthaltstitel ausgestellt hat, für die Prüfung des Antrags auf internationalen Schutz zuständig (Art. 12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Abklärungen hätten ergeben, dass der Beschwerdeführerin am 29. März 2016 von den Niederlanden eine Aufenthaltsbewilligung erteilt worden sei. Die niederländischen Behörden hätten das Ersuchen der Schweiz um Übernahme der Beschwerdeführerin gestützt auf Art. 12 Abs. 1 Dublin-III-VO gutgeheissen. Die Zuständigkeit für die Durchführung des Asyl- und Wegweisungsverfahrens liege somit bei den Niederlanden. Aus dem Umstand, dass sie in der Schweiz über Verwandte verfüge, könne sie nichts zu ihren Gunsten ableiten.</w:t>
      </w:r>
    </w:p>
    <w:p>
      <w:r>
        <w:rPr>
          <w:b/>
        </w:rPr>
        <w:t>E. 4.2</w:t>
      </w:r>
    </w:p>
    <w:p>
      <w:r>
        <w:t>Die Beschwerdeführerin hat dem auf Beschwerdeebene nichts entgegenzustellen. Sie setzt sich mit der Beweiswürdigung der Vorinstanz nicht ansatzweise auseinander und zeigt nicht auf, inwiefern die angefochtene Verfügung Bundesrecht verletzen oder den Sachverhalt rechtsfehlerhaft feststellen soll. In Bezug auf ihren in der Schweiz lebenden Bruder ist auf die entsprechende Erwägung in der vorinstanzlichen Verfügung zu verweisen, wonach sich aus dessen Anwesenheit in der Schweiz kein Zuständigkeitskriterium ableiten lasse, da der Bruder nicht unter den Begriff des Familienangehörigen nach Art. 2 Bst. g Dublin-III-VO falle. Bezüglich den geltend gemachten Magenschmerzen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offensichtlich nicht gegeben. Auf die Einholung des von der Beschwerdeführerin angebotenen Arztberichtes ist in antizipierter Beweiswürdigung zu verzichten. Ansonsten ist, um Wiederholungen zu vermeiden, vollumfänglich auf die zutreffenden Erwägungen in der angefochtenen Verfügung zu verweisen.</w:t>
      </w:r>
    </w:p>
    <w:p>
      <w:r>
        <w:rPr>
          <w:b/>
        </w:rPr>
        <w:t>E. 4.3</w:t>
      </w:r>
    </w:p>
    <w:p>
      <w:r>
        <w:t>Die Vor­instanz ist somit zutreffend von der Zuständigkeit der Niederlande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an die Vorinstanz besteht nach dem Gesagten kein Anlass. Die Beschwerde ist abzuweisen. Die Anträge auf Erteilung der aufschiebenden Wirkung und Anweisung der Vollzugsbehörden, von einer Überstellung abzusehen, sind mit dem vorliegenden Entscheid gegenstandslos geworden.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