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E-6385/2025 vom 13. März 2026</w:t>
      </w:r>
    </w:p>
    <w:p>
      <w:r>
        <w:t>Bundesverwaltungsgericht, 2026-03-13, DE</w:t>
      </w:r>
    </w:p>
    <w:p>
      <w:r>
        <w:rPr>
          <w:b/>
        </w:rPr>
        <w:t xml:space="preserve">Quelle: </w:t>
      </w:r>
      <w:r>
        <w:t>https://mcp.opencaselaw.ch/entscheid/bvger_E-6385_2025</w:t>
      </w:r>
    </w:p>
    <w:p>
      <w:r>
        <w:t>FR: TAF E-6385/2025 du 13 mars 2026</w:t>
      </w:r>
    </w:p>
    <w:p>
      <w:r>
        <w:t>IT: TAF E-6385/2025 del 13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vorliegend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ist somit einzutreten (Art. 72 i.V.m. Art. 108 Abs. 6 AsylG; Art. 52 Abs. 1 VwVG).</w:t>
      </w:r>
    </w:p>
    <w:p>
      <w:r>
        <w:rPr>
          <w:b/>
        </w:rPr>
        <w:t>E. 1.4</w:t>
      </w:r>
    </w:p>
    <w:p>
      <w:r>
        <w:t>Das SEM hat die aufschiebende Wirkung nicht entzogen und der Beschwerde kommt von Gesetzes wegen aufschiebende Wirkung zu (Art. 55 Abs. 1 und 2 VwVG), womit auf den Antrag auf Erteilung der aufschiebenden Wirkung nicht einzutreten ist.</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4.2.1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4.2.2</w:t>
      </w:r>
    </w:p>
    <w:p>
      <w:r>
        <w:t>In diesem Erlass wurde unter anderem die folgende Gruppe schutzberechtigter Personen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5.1</w:t>
      </w:r>
    </w:p>
    <w:p>
      <w:r>
        <w:t>Das SEM führte zur Begründung der angefochtenen Verfügung aus, die Beschwerdeführenden hätten in Deutschland und Spanien über einen Schutzstatus verfügt und seien in diesen Drittstaaten bereits wirksam vor der Kriegssituation in der Ukraine geschützt gewesen. Deshalb seien sie nicht auf eine zusätzliche Schutzgewährung durch die Schweiz angewiesen. An dieser Tatsache ändere auch eine allfällige Beendigung der betreffenden Schutztitel aufgrund einer Ausreise aus dem jeweiligen Drittstaat nichts, zumal die Beschwerdeführenden diese offenbar freiwillig verlassen hätten. Gemäss Akten spreche nichts gegen die Annahme, dass sie in Spanien erneut vorübergehenden Schutz erhalten würden, zumal sie seit ihrer Ausreise in keinem anderen Land eine Aufenthaltsgenehmigung oder Schutz erhalten hätten.</w:t>
      </w:r>
    </w:p>
    <w:p>
      <w:r>
        <w:rPr>
          <w:b/>
        </w:rPr>
        <w:t>E. 5.2</w:t>
      </w:r>
    </w:p>
    <w:p>
      <w:r>
        <w:t>Die Beschwerdeführenden hielten dem auf Beschwerdeebene im Wesentlichen entgegen, sie seien in Spanien mit prorussischen und feindseligen Kommentaren konfrontiert und ihre Kinder seien in der Schule gemobbt worden. Der Beschwerdeführer sei von Nachbarn tätlich angegriffen worden und die Polizei habe diesen Konflikt nicht wirksam gelöst. Insgesamt könnten die Lebensbedingungen, die sie in Spanien vorgefunden hätten, nur als "höllisch" bezeichnet werden. Spanien verfolge Straftaten gegen Migrantinnen und Migranten nachweislich nicht gewissenhaft und administrative Hürden würden sie der Gefahr von Ausbeutung und anderen Benachteiligungen aussetzen. Aufgrund ihres früheren Aufenthalts in Deutschland hätten sie den Prozess der Integration in ein deutschsprachiges Umfeld bereits begonnen; eine Rückkehr nach Spanien würde diese sprachliche und kulturelle Basis zerstören und sich negativ auf die Entwicklung ihrer Kinder auswirken. Die Vorinstanz gehe zu Unrecht und ohne weitere individuelle Abklärungen davon aus, dass sie einen Anspruch auf Wiedererteilung ihres zuvor annullierten, spanischen Schutztitels hätten und ihnen ein solcher von den spanischen Behörden auch tatsächlich (wieder) ausgestellt würde.</w:t>
      </w:r>
    </w:p>
    <w:p>
      <w:r>
        <w:rPr>
          <w:b/>
        </w:rPr>
        <w:t>E. 6.1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6.2</w:t>
      </w:r>
    </w:p>
    <w:p>
      <w:r>
        <w:t>Die Voraussetzungen für die Annahme einer derartigen Schutzalternative in einem Drittstaat - beziehungsweise in einem Mitgliedsstaat der Europäischen Union (EU) respektive der Europäischen Freihandelsassoziation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auch wenn keine Rückübernahmezusicherung des betreffenden Drittstaates vorliegt, das Vorliegen einer valablen Schutzalternative zu bejahen (vgl. a.a.O. E. 6.2.1 sowie 6.3).</w:t>
      </w:r>
    </w:p>
    <w:p>
      <w:r>
        <w:rPr>
          <w:b/>
        </w:rPr>
        <w:t>E. 6.3.1</w:t>
      </w:r>
    </w:p>
    <w:p>
      <w:r>
        <w:t>Die Beschwerdeführenden sind ukrainische Staatsangehörige und haben vor dem 24. Februar 2022 in der Ukraine gelebt. Sie gehören damit grundsätzlich der Personenkategorie gemäss Bst. a der Allgemeinverfügung (in der Fassung vom 11. März 2022) an.</w:t>
      </w:r>
    </w:p>
    <w:p>
      <w:r>
        <w:rPr>
          <w:b/>
        </w:rPr>
        <w:t>E. 6.3.2</w:t>
      </w:r>
    </w:p>
    <w:p>
      <w:r>
        <w:t>Allerdings hielten sie sich bis September 2024 in Deutschland und anschliessend zwischen September 2024 und Juli 2025 in Spanien auf. In beiden Ländern wurde ihnen in Anwendung der (damals) anwendbaren EU-Normen vorübergehender Schutz gewährt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6.3.3</w:t>
      </w:r>
    </w:p>
    <w:p>
      <w:r>
        <w:t>Der spanische Schutztitel kann als dem schweizerischen "Schutz-status S" gleichwertig qualifiziert werden (vgl. dazu auch das Grundsatz-urteil D-4601/2025 a.a.O. E. 6.2.2). Damit besteht mit Blick auf das Subsidiaritätsprinzip ein hinreichender Anknüpfungspunkt in Spanien, wo die Beschwerdeführenden sich vor ihrer Einreise in die Schweiz zuletzt aufhielten. Inwieweit vorliegend auch in Bezug auf Deutschland ein hinreichender Anknüpfungspunkt bestehen könnte, kann angesichts der nachfolgenden Ausführungen offenbleiben.</w:t>
      </w:r>
    </w:p>
    <w:p>
      <w:r>
        <w:rPr>
          <w:b/>
        </w:rPr>
        <w:t>E. 6.3.4</w:t>
      </w:r>
    </w:p>
    <w:p>
      <w:r>
        <w:t>Gemäss Aktenlage ist zwar davon auszugehen, dass die Beschwerdeführenden aktuell über keinen gültigen spanischen Schutztitel respektive eine darauf basierende Aufenthaltsbewilligung (mehr) verfügen. Spanien ist aber aufgrund der einschlägigen EU-Bestimmungen nach wie vor verpflichtet, schutzbedürftigen ukrainischen Gesuchstellenden vorübergehenden Schutz zu gewähren, zumal der Rat der EU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demnach davon ausgegangen werden, dass die Beschwerdeführenden bei einer Rückkehr nach Spanien ihren annullierten Schutzstatus reaktivieren oder zumindest erneut erfolgreich um Schutz ersuchen können. Ferner besteht kein Grund zur Annahme, dass sich der - nun letztlich erfolglose - Antrag in der Schweiz bei einer erneuten Schutzsuche in Spanien für die Beschwerdeführenden nachteilig auswirken würde (vgl. zum Ganzen Grundsatzurteil D-4601/2025 a.a.O. E. 6.2.3 m.w.H.).</w:t>
      </w:r>
    </w:p>
    <w:p>
      <w:r>
        <w:rPr>
          <w:b/>
        </w:rPr>
        <w:t>E. 6.3.5</w:t>
      </w:r>
    </w:p>
    <w:p>
      <w:r>
        <w:t>Insgesamt kann demnach mit hinreichender Gewissheit festgestellt werden, dass Spanien den Beschwerdeführenden im Falle ihrer Rückkehr dorthin erneut vorübergehenden Schutz gewähren und ihnen entsprechende Aufenthaltstitel ausstellen wird. Die gegenteilige Befürchtung der Beschwerdeführenden erweist sich damit als unbegründet, zumal sie dafür keine konkreten und substanziierten Anhaltspunkte vorgebracht haben.</w:t>
      </w:r>
    </w:p>
    <w:p>
      <w:r>
        <w:rPr>
          <w:b/>
        </w:rPr>
        <w:t>E. 6.4</w:t>
      </w:r>
    </w:p>
    <w:p>
      <w:r>
        <w:t>Als Inhaber gültiger ukrainischer Reisepapiere können die Beschwerdeführenden visumsfrei in den Schengenraum einreisen und sich frei zwischen den Schengen-Staaten bewegen. Somit können sie ohne Weiteres selbstständig von der Schweiz nach Spanien zurückkehren beziehungsweise legal dort einreisen.</w:t>
      </w:r>
    </w:p>
    <w:p>
      <w:r>
        <w:rPr>
          <w:b/>
        </w:rPr>
        <w:t>E. 6.5</w:t>
      </w:r>
    </w:p>
    <w:p>
      <w:r>
        <w:t>Die Vorinstanz hat demnach zutreffend festgestellt, dass die Beschwerdeführenden über eine valable Schutzalternative verfügen und damit nicht auf den subsidiären Schutz der Schweiz angewiesen sind. Das SEM hat das Gesuch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weder über ausländerrechtliche Aufenthaltsbewilligungen noch über einen Anspruch auf Erteilung solcher Aufenthaltstitel. Das SEM hat zu Recht auch die Wegweisung aus der Schweiz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Spanien zu prüfen.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Die Beschwerdeführenden haben in der Schweiz keine Asylgesuche gestellt; den Akten sind keine Hinweise auf eine Verletzung des flücht-lingsrechtlichen Refoulement-Verbots (vgl. Art. 5 AsylG) zu entnehmen. Weder aus den Aussagen der Beschwerdeführenden noch aus den Akten ergeben sich Anhaltspunkte dafür, dass sie für den Fall einer Ausschaffung nach Spanien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Der EU-Mitgliedstaat Spanien ist Signatarstaat der EMRK, der FoK und der FK und des Zusatzprotokolls der FK vom 31. Januar 1967 (SR 0.142.301) sowie des Übereinkommens vom 20. November 1989 über die Rechte des Kindes (sog. Kinderrechtskonvention, KRK; SR 0.107) und kommt seinen diesbezüglichen Verpflichtungen grundsätzlich nach. Die Beschwerdeführenden haben Gegenteiliges jedenfalls nicht substanziiert dargetan.</w:t>
      </w:r>
    </w:p>
    <w:p>
      <w:r>
        <w:rPr>
          <w:b/>
        </w:rPr>
        <w:t>E. 8.2.3</w:t>
      </w:r>
    </w:p>
    <w:p>
      <w:r>
        <w:t>Der Vollzug der Wegweisung nach Spanien ist daher als zulässig zu qualifizieren.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das diese Vermutung wider-legen könnte.</w:t>
      </w:r>
    </w:p>
    <w:p>
      <w:r>
        <w:rPr>
          <w:b/>
        </w:rPr>
        <w:t>E. 8.3.3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bei einer Rückkehr nach Spanien dort in eine existenzielle Notlage geraten werden. Medizinische Gründe, die im Rahmen des Wegweisungsvollzugs relevant wären, haben die Beschwerdeführenden nicht vorgetragen.</w:t>
      </w:r>
    </w:p>
    <w:p>
      <w:r>
        <w:rPr>
          <w:b/>
        </w:rPr>
        <w:t>E. 8.3.4</w:t>
      </w:r>
    </w:p>
    <w:p>
      <w:r>
        <w:t>Spanien verfügt über funktionierende Justiz- und Polizeiorgane. Im Fall zukünftiger Diskriminierungen und Bedrohungen könnten sich die Beschwerdeführenden an die zuständigen spanischen Behörden wenden und ihre Schutzansprüche dort geltend machen, nötigenfalls auf dem Rechtsweg. Die eingereichten polizeilichen Dokumente belegen denn auch, dass es dem Beschwerdeführer möglich war, einen tätlichen Angriff - der sich kurz vor ihrer Ausreise aus Spanien ereignet hatte - zur Anzeige zu bringen und als Opfer anerkannt zu werden.</w:t>
      </w:r>
    </w:p>
    <w:p>
      <w:r>
        <w:rPr>
          <w:b/>
        </w:rPr>
        <w:t>E. 8.3.5</w:t>
      </w:r>
    </w:p>
    <w:p>
      <w:r>
        <w:t>Schliesslich ergeben sich aus den Akten auch keine konkreten Hinweise darauf, dass der Vollzug der Wegweisung mit dem Kindeswohl nicht vereinbar sein könnte. Die Beschwerdeführenden halten sich erst seit rund neun Monaten in der Schweiz auf. Der mit der Beschwerde eingereichte Austausch mit einer Lehrperson betreffend das älteste Kind ist nicht geeignet, die Einhaltung der KRK in Spanien infrage zu stellen.</w:t>
      </w:r>
    </w:p>
    <w:p>
      <w:r>
        <w:rPr>
          <w:b/>
        </w:rPr>
        <w:t>E. 8.3.6</w:t>
      </w:r>
    </w:p>
    <w:p>
      <w:r>
        <w:t>Der Vollzug der Wegweisung nach Spanien erweist sich als zumutbar.</w:t>
      </w:r>
    </w:p>
    <w:p>
      <w:r>
        <w:rPr>
          <w:b/>
        </w:rPr>
        <w:t>E. 8.4.1</w:t>
      </w:r>
    </w:p>
    <w:p>
      <w:r>
        <w:t>Der Vollzug der Wegweisung ist nicht möglich, wenn die Ausländerin oder der Ausländer weder in den Heimat- oder in den Herkunftsstaat noch in einen Drittstaat ausreisen oder dorthin gebracht werden kann (Art. 83 Abs. 2 AIG).</w:t>
      </w:r>
    </w:p>
    <w:p>
      <w:r>
        <w:rPr>
          <w:b/>
        </w:rPr>
        <w:t>E. 8.4.2</w:t>
      </w:r>
    </w:p>
    <w:p>
      <w:r>
        <w:t>Diesbezüglich ist darauf hinzuweisen, dass die Möglichkeit einer freiwilligen Rückkehr in den Heimat- oder Herkunftsstaat beziehungsweise in einen Drittstaat der Feststellung der Unmöglichkeit des Vollzugs von vornherein entgegensteht (vgl. Grundsatzurteil D-4601/2025 a.a.O. E. 8.4.2 m.w.H.) Wie bereits erwähnt (vgl. E. 6.4), können die Beschwerdeführenden als Inhaber gültiger ukrainischer Reisepapiere ohne Weiteres in Spanien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der Wegweisung nach Spanien vorliegend ausser Betracht fällt. Ob eine Wegweisung der Beschwerdeführenden nach Deutschland durchführbar wäre, kann unter diesen Umständen offenbleiben.</w:t>
      </w:r>
    </w:p>
    <w:p>
      <w:r>
        <w:rPr>
          <w:b/>
        </w:rPr>
        <w:t>E. 9</w:t>
      </w:r>
    </w:p>
    <w:p>
      <w:r>
        <w:t>Aus diesen Erwägungen ergibt sich, dass die angefochtene Verfügung Bundesrecht nicht verletzt und auch sonst nicht zu beanstanden ist (Art. 106 Abs. 1 AsylG, Art. 49 VwVG); namentlich besteht nach dem Gesagten offensichtlich auch keine Veranlassung für den eventualiter beantragten, kassatorischen Entscheid. Die Beschwerde ist abzuweisen.</w:t>
      </w:r>
    </w:p>
    <w:p>
      <w:r>
        <w:rPr>
          <w:b/>
        </w:rPr>
        <w:t>E. 10.1</w:t>
      </w:r>
    </w:p>
    <w:p>
      <w:r>
        <w:t>Bei diesem Ausgang des Verfahrens wären die Kosten den Beschwerdeführenden aufzuerlegen (Art. 63 Abs. 1 VwVG). Da indessen mit Instruktionsverfügung vom 29. Oktober 2025 ihr Gesuch um Gewährung der unentgeltlichen Prozessführung gemäss Art. 65 Abs. 1 VwVG gutgeheissen wurde - weil ihre Rechtsbegehren zum (praxisgemäss massgebenden) Zeitpunkt der Beschwerdeerhebung nicht aussichtslos waren - und den Akten keine Anhaltspunkte für eine relevante Veränderung ihrer finanziellen Lage zu entnehmen sind, ist von der Auflage von Verfahrenskosten abzusehen.</w:t>
      </w:r>
    </w:p>
    <w:p>
      <w:r>
        <w:rPr>
          <w:b/>
        </w:rPr>
        <w:t>E. 10.2</w:t>
      </w:r>
    </w:p>
    <w:p>
      <w:r>
        <w:t>Mit Zwischenverfügung vom 18. November 2025 wurde auch das Gesuch um amtliche Verbeiständung gutgeheissen und der Rechtsvertreter der Beschwerdeführenden als amtlicher Rechtsbeistand eingesetzt (Art. 102m Abs. 1 Bst. d AsylG). Diesem ist demnach durch das Gericht ein Honorar für seine notwendigen Aufwendungen im Beschwerdeverfahren auszurichten. Es wurde keine Kostennote zu den Akten gereicht, weshalb das Honorar aufgrund der Akten festzulegen ist (Art. 14 Abs. 2 des Reglements vom 21. Februar 2008 über die Kosten und Entschädigungen vor dem Bundesverwaltungsgericht [VGKE, SR 173.320.2]). Gestützt auf die in Betracht zu ziehenden Bemessungsfaktoren (Art. 9-13 VGKE) und den Stundenansatz für die nicht-anwaltliche Vertretung ist das Honorar auf insgesamt Fr. 500.-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