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E-6383/2011 vom 30. November 2011</w:t>
      </w:r>
    </w:p>
    <w:p>
      <w:r>
        <w:t>Bundesverwaltungsgericht, 2011-11-30, FR</w:t>
      </w:r>
    </w:p>
    <w:p>
      <w:r>
        <w:rPr>
          <w:b/>
        </w:rPr>
        <w:t xml:space="preserve">Quelle: </w:t>
      </w:r>
      <w:r>
        <w:t>https://mcp.opencaselaw.ch/entscheid/bvger_E-6383_2011</w:t>
      </w:r>
    </w:p>
    <w:p>
      <w:r>
        <w:t>FR: TAF E-6383/2011 du 30 novembre 2011</w:t>
      </w:r>
    </w:p>
    <w:p>
      <w:r>
        <w:t>IT: TAF E-6383/2011 del 30 novembre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L'intéressé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à ce sujet dans le recours ne sont pas de nature à remettre en cause les motifs de la décision attaquée, auxquels il est renvoyé (cf. JICRA 1999 n° 16 consid. 5 p. 108ss). L'intéressé a en effet déclaré que son passeport lui avait été volé en Allemagne. Cette explication, peu convaincante, ne saurait toutefois être retenue : d'une part, n'est pas concevable que le recourant n'ait pas dénoncé le vol à la police allemande, d'autre part, l'intéressé a présenté, à l'appui de son recours, une copie de deux pages de son passeport avec un visa Schengen, ce qui laisse légitimement supposer que celui-ci se trouve toujours en sa possession. Sur ce dernier point, le Tribunal constate que la production de la photocopie d'un visa Schengen n'équivaut pas à la remise aux autorités d'une pièce d'identité ou d'un document de voyage, au sens de l'art. 8 al. 1 let. b LAsi. A ce titre, il convient de souligner en premier lieu qu'il s'agit d'une simple photocopie non certifiée conforme à l'original, alors que la remise d'originaux est requise (cf. ci-dessus ch. 2.2). Il sied de relever en deuxième lieu, à supposer que le document en question puisse avoir une valeur probante quelconque, que sa production est tardive sans que l'intéressé ait pu justifier ce retard (cf. pour la production tardive de documents d'identité, Jurisprudence et informations de la Commission suisse de recours en matière d'asile [JICRA] 1999). La fourniture du document en cause ne saurait en conséquence remettre en question la décision prise par l'ODM.</w:t>
      </w:r>
    </w:p>
    <w:p>
      <w:r>
        <w:rPr>
          <w:b/>
        </w:rPr>
        <w:t>E. 3.2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ce qui concerne le récit de l'intéressé, celui-ci reste pauvre en détails significatifs d'une expérience réellement vécue : le recourant ne parvient pas à décrire ses activités en tant qu'agent de sécurité, il n'est pas capable de fournir des informations précises au sujet de ses prétendus enlèvements. Ses propos, peu substantiels, ne sont par ailleurs étayés par aucun moyen de preuve. L'intéressé produit certes la photocopie d'un écrit, censée être une page d'un journal qui, outre de mentionner l'assassinat de C._______, cite le nom de A._______. La valeur probante de ce document est toutefois sujet à caution : il ne s'agit que d'une simple photocopie qui ne porte aucune date et ne permet pas d'identifier sa provenance ne faisant figurer aucun nom d'un journal. L'article n'est par ailleurs pas reproduit en entier. Au demeurant, le document en question apparaît comme un moyen de preuve produit pour les seuls besoins de la cause.</w:t>
      </w:r>
    </w:p>
    <w:p>
      <w:r>
        <w:rPr>
          <w:b/>
        </w:rPr>
        <w:t>E. 3.3</w:t>
      </w:r>
    </w:p>
    <w:p>
      <w:r>
        <w:t>Dans la mesure où aucun élément du dossier ne permet de considérer les faits rapportés par l'intéressé comme plausibles, 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L'exécution du renvoi est également raisonnablement exigible (cf. art. 83 al. 4 LEtr). Il est en effet notoire que le Nigéria, bien qu'y surviennent épisodiquement des affrontement violents,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Quant à la situation personnelle du recourant, il convient d'observer qu'il ne ressort pas du dossier qu'il pourrait être mis concrètement en danger pour des motifs qui lui seraient propres.</w:t>
      </w:r>
    </w:p>
    <w:p>
      <w:r>
        <w:rPr>
          <w:b/>
        </w:rPr>
        <w:t>E. 4.4</w:t>
      </w:r>
    </w:p>
    <w:p>
      <w:r>
        <w:t>L'exécution du renvoi est enfin possible (cr.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totale est rejetée, l'attribution d'un avocat à l'intéressé n'étant en l'occurrence pas nécessaire à la sauvegarde de ses droits, l'affaire ne présentant aucune difficulté juridique et les conclusions du recours étant d'emblée vouées à l'échec (cf. art. 65 al. 1 et 2 PA).</w:t>
      </w:r>
    </w:p>
    <w:p>
      <w:r>
        <w:rPr>
          <w:b/>
        </w:rPr>
        <w:t>E. 5.3</w:t>
      </w:r>
    </w:p>
    <w:p>
      <w:r>
        <w:t>Vu l'issue de la cause, il y a lieu de mettre les frais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