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E-6382/2015 vom 27. Februar 2017</w:t>
      </w:r>
    </w:p>
    <w:p>
      <w:r>
        <w:t>Bundesverwaltungsgericht, 2017-02-27, DE</w:t>
      </w:r>
    </w:p>
    <w:p>
      <w:r>
        <w:rPr>
          <w:b/>
        </w:rPr>
        <w:t xml:space="preserve">Quelle: </w:t>
      </w:r>
      <w:r>
        <w:t>https://mcp.opencaselaw.ch/entscheid/bvger_E-6382_2015</w:t>
      </w:r>
    </w:p>
    <w:p>
      <w:r>
        <w:t>FR: TAF E-6382/2015 du 27 février 2017</w:t>
      </w:r>
    </w:p>
    <w:p>
      <w:r>
        <w:t>IT: TAF E-6382/2015 del 27 febbraio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Das Bundesverwaltungsgericht wies mit Urteil E-1996/2014 vom 19. Februar 2015 eine gegen die Verfügung der Vorinstanz vom 10. März 2014 erhobene Beschwerde in den Punkten betreffend Verneinung der Flüchtlingseigenschaft, Verweigerung des Asyls und Anordnung der Wegweisung ab, hiess sie jedoch den Vollzug der Wegweisung betreffend gut, hob die Ziffern 4 und 5 der vorinstanzlichen Verfügung auf und wies die Sache zur Neubeurteilung an das SEM zurück. Folglich ist vorliegend lediglich zu prüfen, ob die Vorinstanz den Vollzug der Wegweisung zu Recht angeordnet hat (während die Punkte betreffend Verneinung der Flüchtlingseigenschaft, Verweigerung des Asyls und Anordnung der Wegweisung rechtskräftig abgeurteilt wurden).</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KRG-Region ist demnach unter dem Aspekt von Art. 5 AsylG rechtmässig. Sodann ergeben sich weder aus den Aussagen des Beschwerdeführers noch aus den Akten Anhaltspunkte dafür, dass er für den Fall einer Ausschaffung in die KRG-Region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28. Februar 2008, Grosse Kammer 37201/06, §§ 124-127 m.w.H.). Auch die allgemeine Menschenrechtssituation in der KRG-Region lässt den Wegweisungsvollzug zum heutigen Zeitpunkt nicht als unzulässig erscheinen (vgl. den als Referenzurteil publizierten Entscheid des Bundesverwaltungsgerichts E-3737/2015 vom 14. Dezember 2015 E. 6.3 m.H.a. Urteil E-847/2014 vom 13. April 2015 E. 8.2.2; siehe auch die kürzlich ergangenen Urteile E-4297/2016 vom 12. Oktober 2016 und D-3405/2016 vom 14. September 2016 E. 8.3). Nach dem Gesagten ist der Vollzug der Wegweisung sowohl im Sinne der asyl- als auch der völkerrechtlichen Bestimmungen zulässig.</w:t>
      </w:r>
    </w:p>
    <w:p>
      <w:r>
        <w:rPr>
          <w:b/>
        </w:rPr>
        <w:t>E. 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Das Bundesverwaltungsgericht hat die aus dem Jahr 2008 datierende Lagebeurteilung betreffend den Nordirak (BVGE 2008/5) aktualisiert und die damit einhergehende langjährige Praxis in seinem als Referenzurteil publizierten Entscheid E-3737/2015 vom 14. Dezember 2015 für grundsätzlich weiterhin anwendbar erklärt (E. 7.4). Dabei wies es darauf hin,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KRG-Region nicht zu verzeichnen; der Rückzug der zentralirakischen Armee aus Gebieten, die an die KRG-Region angrenzen, hat es den kurdischen Peschmerga im Herbst 2014 sogar ermöglicht, ihr Herrschaftsgebiet faktisch zu erweitern. Bei den Kämpfen entlang der Grenze zur Autonomen Kurdischen Region ist es den durch die Luftwaffe und Waffenlieferungen der alliierten Truppen unterstützten Peschmerga bisher gelungen, einen Vormarsch des IS in die KRG-Region zu verhindern. Mitte November 2015 konnten sie diesen aus der Region nordöstlich des kurdischen Autonomiegebiets vertreiben. Das Bundesverwaltungsgericht hielt im angeführten Urteil fest, dass in den vier Provinzen der Autonomen Kurdischen Region auch im heutigen Zeitpunkt nicht von einer Situation allgemeiner Gewalt im Sinn von Art. 83 Abs. 4 AuG auszugehen ist und keine Anhaltspunkte für die Annahme vorliegen, dass sich dies in absehbarer Zeit massgeblich verändern würde. Der Wegweisungsvollzug ist damit als grundsätzlich zumutbar zu bezeichnen. Das Gericht wies allerdings darauf hin, dass angesichts der Belastung der behördlichen Infrastrukturen durch intern Vertriebene jeweils der Prüfung des Vorliegens begünstigender individueller Faktoren - insbesondere denjenigen eines tragfähigen familiären Beziehungsnetzes - besonderes Gewicht beizumessen ist (E. 7.4.5).</w:t>
      </w:r>
    </w:p>
    <w:p>
      <w:r>
        <w:rPr>
          <w:b/>
        </w:rPr>
        <w:t>E. 6.3</w:t>
      </w:r>
    </w:p>
    <w:p>
      <w:r>
        <w:t>Vorab ist festzustellen, dass das Bundesverwaltungsgericht mit Urteil E-1996/2014 vom 19. Februar 2015 rechtskräftig festgestellt hat, dass der Beschwerdeführer nicht aus D._______, Zentralirak, sondern aus der KRG-Region, Provinz Dohuk, stammt, wohin auch ein Wegweisungsvollzug zu prüfen ist. Folglich erübrigen sich jegliche weitere Ausführungen zur Herkunft des Beschwerdeführers beziehungsweise zu den Rügen hinsichtlich der Herkunftsanalyse im vorinstanzlichen Verfahren. In Bezug auf sein im Irak vorhandenes Familiennetz gab der Beschwerdeführer an, seine Mutter lebe mit seiner Schwester, deren Ehemann und ihren gemeinsamen Kindern in B_______ (Provinz Dohuk). Seine zwei Brüder würden sich als Peschmerga in C._______ (Provinz Ninawa) aufhalten. Er habe jedoch nur, aber immerhin zu seiner Mutter Kontakt. Im Übrigen gab er im Rahmen seiner Anhörung vom 17. Juni 2009 zu Protokoll, dass sein Onkel mütterlicherseits mit seiner Familie in [Provinz Dohuk] lebe (A23/19 S. 5). In der Eingabe vom 10. August 2015 (W39/11) erklärte er derweil, weder mit seinen Geschwistern noch mit seinem Onkel in Verbindung zu stehen. Aus welchem Grund er zu ihnen keinen Kontakt (mehr) pflegen sollte, wird indes nicht ausgeführt. Jedenfalls sind keine Gründe ersichtlich, weshalb es ihm im Falle einer Rückkehr nicht zuzumuten wäre, wieder den Kontakt zu seinen Verwandten aufzunehmen. Folglich darf vorliegend davon ausgegangen werden, dass er in seiner Heimat nach wie vor über ein tragfähiges Beziehungsnetz verfügt. Aus den Akten ergeben sich denn auch keine weiteren Hinweise auf individuelle Unzumutbarkeitselemente. Der Beschwerdeführer ist jung und soweit ersichtlich gesund. Zudem verfügt er eigenen Angaben zufolge über mehrjährige Arbeitserfahrung (vgl. den eingereichten Lebenslauf, W17; A1/10 S. 2; A23/19 S. 6; W23/18 S. 5). Es ist somit anzunehmen, dass er wieder in der Lage sein wird, für seinen Lebensunterhalt aufzukommen, selbst wenn der Zugang zum Arbeitsmarkt in der KRG-Region aufgrund der derzeitigen Situation für die gesamte Bevölkerung erschwert sein sollte. Um die Anfangszeit zu überbrücken, steht es ihm indes offen, individuelle Rückkehrhilfe zu beantragen (Art. 73 der Asylverordnung 2 vom 11. August 1999 [AsylV 2, SR 142.312]). Im Übrigen ist im Rahmen der Frage der Zumutbarkeit des Wegweisungsvollzugs ins Heimatland der Frage der Integration in der Schweiz bei erwachsenen Personen - anders als bei minderjährigen Asylsuchenden - ein geringeres Gewicht beizumessen. Mithin stehen auch der sechsjährige Aufenthalt in der Schweiz sowie die damit verbundene Integration des Beschwerdeführers einem Wegweisungsvollzug nicht entgegen. Insgesamt ist somit davon auszugehen, dass der Beschwerdeführer sich im Falle einer Rückkehr - insbesondere mithilfe seines familiären Beziehungsnetzes - eine tragfähige Existenz aufbauen kann und nicht in eine Notlage geraten wird. Ferner besteht, selbst wenn das Gericht eine gewisse Anspannung im KRG-Gebiet aufgrund der Belastung durch Binnenflüchtlinge sowie der Nähe zum IS-kontrollierten Gebiet nicht verkennt, kein Anlass von einer derart verschlechterten Lage auszugehen, dass der Vollzug der Wegweisung als unzumutbar zu erachten wäre. Folglich sprechen weder die allgemeine Situation noch individuelle Gründe gegen die Zumutbarkeit des Wegweisungsvollzugs in die KRG-Region.</w:t>
      </w:r>
    </w:p>
    <w:p>
      <w:r>
        <w:rPr>
          <w:b/>
        </w:rPr>
        <w:t>E. 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und angemessen ist. Die Beschwerde ist demnach abzuweisen.</w:t>
      </w:r>
    </w:p>
    <w:p>
      <w:r>
        <w:rPr>
          <w:b/>
        </w:rPr>
        <w:t>E. 10</w:t>
      </w:r>
    </w:p>
    <w:p>
      <w:r>
        <w:t>Bei diesem Ausgang des Verfahrens wären die Kosten dem Beschwerdeführer aufzuerlegen (Art. 63 Abs. 1 VwVG). Nachdem das Gesuch um Gewährung der unentgeltlichen Prozessführung mit Verfügung des Bundesverwaltungsgerichts vom 14. Oktober 2015 gutgeheissen wurde und aus den Akten keine Hinweise hervorgehen (insbesondere ist den Akten nicht zu entnehmen, dass der Beschwerdeführer bis anhin eine Stelle angetreten hat), wonach er nicht mehr bedürftig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