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E-6379/2024 vom 17. April 2026</w:t>
      </w:r>
    </w:p>
    <w:p>
      <w:r>
        <w:t>Bundesverwaltungsgericht, 2026-04-17, FR</w:t>
      </w:r>
    </w:p>
    <w:p>
      <w:r>
        <w:rPr>
          <w:b/>
        </w:rPr>
        <w:t xml:space="preserve">Quelle: </w:t>
      </w:r>
      <w:r>
        <w:t>https://mcp.opencaselaw.ch/entscheid/bvger_E-6379_2024</w:t>
      </w:r>
    </w:p>
    <w:p>
      <w:r>
        <w:t>FR: TAF E-6379/2024 du 17 avril 2026</w:t>
      </w:r>
    </w:p>
    <w:p>
      <w:r>
        <w:t>IT: TAF E-6379/2024 del 17 aprile 2026</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9 septembre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[RS 173.10]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Il convient d'examiner en premier lieu le grief formel soulevé par le recourant, celui-ci étant susceptible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Comme exposé, l'intéressé reproche au SEM d'avoir violé son devoir d'instruction en rendant sa décision sans avoir mené de manière complète et objective les investigations nécessaires pour déterminer son âge.</w:t>
      </w:r>
    </w:p>
    <w:p>
      <w:r>
        <w:rPr>
          <w:b/>
        </w:rPr>
        <w:t>E. 2.2.1</w:t>
      </w:r>
    </w:p>
    <w:p>
      <w:r>
        <w:t>En vertu de la maxime inquisitoire, qui régit la procédure administrative, les autorités définissent les faits pertinents et les preuves nécessaires, qu'elles ordonnent et apprécient d'office (art. 12 PA ; cf. ATAF 2015/10 consid. 3.2 ; 2012/21 consid. 5.1 ; 2009/60 consid. 2.1.1). Cette maxime doit cependant être relativisée par son corollaire, soit le devoir de collaboration de la partie à l'établissement des faits (art. 13 PA),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l'occurrence, un examen du dossier révèle que le SEM a instruit la question de la date de naissance du recourant. Il a interrogé spécifiquement ce dernier à ce sujet et récolté des informations importantes sur son environnement dans son pays d'origine, sur son entourage familial, sur son éducation ainsi que sur son parcours de vie. Rien n'indique que l'audition du 14 juin 2024 aurait été menée dans un climat défavorable ou de manière inadaptée à l'âge allégué du recourant. Le procès-verbal ne révèle aucun indice suggérant que celui-ci aurait été empêché de répondre librement et spontanément aux questions posées ou qu'il ne les aurait pas comprises. Il y a lieu de relever qu'il ne s'agissait pas, principalement, de recueillir des propos relatifs aux motifs d'asile ou à d'autres thèmes importants, éventuellement complexes ou délicats, mais d'obtenir des renseignements sur des sujets relatifs au vécu, notamment scolaire, familial et migratoire du requérant, autrement dit d'obtenir des réponses à des questions simples, clairement à la portée de celui-ci. Au regard des incertitudes concernant la date de naissance alléguée, l'autorité intimée a en outre diligenté une expertise médico-légale visant à déterminer l'âge du recourant. Contrairement à ce que soutient celui-ci, rien n'indique que le SEM n'était pas fondé à ordonner une telle expertise alors que sa minorité n'était pas contestée. On peut certes regretter qu'un examen sterno-claviculaire n'ait pas été effectué dans ce cadre. L'absence des données y relatives n'est toutefois pas décisive en l'espèce, au vu de ce qui sera exposé plus loin (cf. consid. 4). De surcroît, le SEM a octroyé au recourant un droit d'être entendu sur les résultats de l'expertise, de même que sur les aspects de son récit qui avaient suscité ses doutes. Aucun défaut d'instruction ne saurait ainsi être reproché à l'autorité intimée. Pour le surplus, l'intéressé fait en réalité valoir des griefs de fond qui seront examinés plus loin.</w:t>
      </w:r>
    </w:p>
    <w:p>
      <w:r>
        <w:rPr>
          <w:b/>
        </w:rPr>
        <w:t>E. 2.3</w:t>
      </w:r>
    </w:p>
    <w:p>
      <w:r>
        <w:t>Dans ces conditions, il n'y a pas lieu d'annuler la décision querellée et de renvoyer la cause au SEM pour complément d'instruction, la conclusion en ce sens devant être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4.1</w:t>
      </w:r>
    </w:p>
    <w:p>
      <w:r>
        <w:t>Le recourant soutient que le SEM se trompe dans son appréciation. Comme déjà exposé, il est d'avis que la date de naissance qu'il allègue, à savoir le (...), est plus probable que celle désormais inscrite dans SYMIC, à savoir le (...).</w:t>
      </w:r>
    </w:p>
    <w:p>
      <w:r>
        <w:rPr>
          <w:b/>
        </w:rPr>
        <w:t>E. 4.2</w:t>
      </w:r>
    </w:p>
    <w:p>
      <w:r>
        <w:t>Le SEM n'apporte à l'évidence pas la preuve de l'exactitude de la date de naissance du (...) au sens de l'art. 41 al. 4 LPD. En effet, il s'agit d'une date de naissance fictive attribuée au recourant dans le but de le faire apparaître comme étant âgé de (...) ans, conformément à l'âge minimum ressortant de l'expertise médico-légale effectuée, et non pas de (...) ans, comme il le soutenait, d'où la nécessaire mention du caractère litigieux de cette donnée dans SYMIC. De son côté, le recourant n'apporte pas non plus la preuve de l'exactitude de la date de naissance du (...) dont il revendique l'inscription dans SYMIC. Il n'a produit aucun document d'identité ou de voyage susceptible d'établir son identité. Il n'a en outre rien dit des démarches qu'il aurait entreprises pour se faire remettre par son père des documents pertinents (cf. courrier du 28 août 2024 [pièce SEM 31/10], p. 3). La photographie du certificat de naissance qu'il a déposée ne revêt qu'une faible valeur probante, ce document étant, comme l'a relevé le SEM, aisément manipulable. Il est d'ailleurs notoire que de tels écrits peuvent être obtenus en Guinée contre paiement ou élaborés à partir de modèles disponibles sur Internet. En l'espèce, on relève notamment qu'il est daté du 16 juillet 2024, soit (...) ans après la date de naissance alléguée de l'intéressé et alors que celui-ci se trouvait déjà en Suisse. Cela indique qu'il a été établi pour les besoins de la présente procédure, probablement à la demande du père du recourant, voire selon ses indications. Les mentions singulières qu'il comporte sous certaines rubriques (« à partir du formulaire de demande » respectivement « à partir du formulaire ») jettent encore davantage le doute sur les circonstances de son élaboration, voire sur son authenticité. Il ne s'agit certes pas d'écarter purement et simplement ce document ; celui-ci ne constitue toutefois, tout au plus, qu'un faible indice de l'âge du recourant. Il est donc nécessaire de déterminer s'il existe d'autres éléments au dossier parlant en faveur de l'âge allégué par l'intéressé.</w:t>
      </w:r>
    </w:p>
    <w:p>
      <w:r>
        <w:rPr>
          <w:b/>
        </w:rPr>
        <w:t>E. 4.3</w:t>
      </w:r>
    </w:p>
    <w:p>
      <w:r>
        <w:t>A l'instar du SEM, le Tribunal considère que tel n'est pas le cas.</w:t>
      </w:r>
    </w:p>
    <w:p>
      <w:r>
        <w:rPr>
          <w:b/>
        </w:rPr>
        <w:t>E. 4.3.1</w:t>
      </w:r>
    </w:p>
    <w:p>
      <w:r>
        <w:t>Les explications de l'intéressé concernant la manière dont il aurait eu connaissance de sa date de naissance alléguée (le [...]) sont demeurées particulièrement laconiques. Il a en substance indiqué l'avoir apprise par son père à la fin de l'année 2023 alors qu'il se trouvait en Italie, où cette question aurait été « une préoccupation » (cf. pv audition RMNA, p. 3, pt. 1.06). Il l'aurait ignorée jusqu'alors, son père ne la lui ayant jamais communiquée et lui-même ne la lui ayant jamais demandée. L'argument au stade du recours (cf. mémoire de recours, p. 18) selon lequel l'âge n'a pas la même importance partout dans le monde ne suffit pas à expliquer que l'intéressé ne se soit jamais enquis du sien avant son départ de Guinée. Ses allégations concernant son parcours scolaire ont également été approximatives. Il a en effet indiqué avoir commencé l'école « à l'âge de (...), (...) ans », sans savoir dire en quelle année, et avoir arrêté sa scolarité après trois ans, alors qu'il était âgé de (...) ans. Son père ne l'aurait pas laissé poursuivre sa scolarité, sans qu'il sache pourquoi. Il aurait quitté la Guinée « environ cinq, six mois » plus tard. Le fait qu'il aurait reconstitué son âge au moment du début et de la fin de sa scolarité à partir de la date de naissance donnée par son père (cf. pv audition RMNA, p. 5, pt. 17.4) suggère qu'il possède une certaine compréhension du temps (cf. également idem, pt. 1.17.05 : « Quand j'ai commencé [mon apprentissage] j'étais en troisième année, moitié de la troisième année »), ce qui contraste avec son affirmation selon laquelle il ne connaissait pas son âge avant l'adolescence. Cela tranche également avec son hésitation apparente à donner des dates, qui, dans ce contexte, pourrait traduire un souci de ne pas fournir d'informations contradictoires. Tel a notamment été le cas s'agissant de son départ de Guinée, qu'il a finalement situé dans la deuxième moitié de l'année 2023 (cf. idem, p. 8, pt. 5.01). Ses indications quant à la durée de son voyage jusqu'en Suisse ont également été singulièrement imprécises au regard des indications temporelles qu'il a été en mesure de fournir sur d'autres points (cf. ibidem : « j'ai fait quelques mois en route » ; cf. également idem, pt. 5.02 : « [Je suis resté] au Mali moins d'un mois... Quelques mois en Algérie, quelques mois en Tunisie... » ; « Je vivais en Italie, mais je ne peux pas vous dire combien de temps »). En tout état de cause, l'âge allégué de l'intéressé, ses conditions de vie en Guinée, son niveau éducatif, son parcours migratoire et sa fragilité psychologique (cf. mémoire de recours, pp. 18 ss), à l'admettre, ne permettent pas d'expliquer totalement la pauvreté de ses déclarations. En définitive, le caractère vague, voire évasif, des propos de l'intéressé tend à décrédibiliser ses allégations relatives à son âge, sans toutefois suffire, en soi, à les infirmer.</w:t>
      </w:r>
    </w:p>
    <w:p>
      <w:r>
        <w:rPr>
          <w:b/>
        </w:rPr>
        <w:t>E. 4.3.2</w:t>
      </w:r>
    </w:p>
    <w:p>
      <w:r>
        <w:t>En revanche, les résultats de l'expertise médico-légale sont un indice fort en défaveur de la date de naissance - et donc de l'âge - allégués par l'intéressé. Certes, l'examen dentaire effectué s'est fondé sur des données de référence multi-ethniques et provenant d'études réalisées sur une population sud-africaine, alors que l'intéressé est guinéen. Cela dit, l'âge moyen (18,3 ans) et, surtout, l'âge minimum (16,64 ans) ainsi établis diffèrent à ce point de l'âge allégué du recourant ([...] ans et [...] mois au moment de l'examen) que la date de naissance retenue par le SEM, impliquant que celui-ci était âgé de plus de (...) ans au moment de l'expertise, paraît plus vraisemblable. C'est par ailleurs à juste titre que le rapport d'expertise retient comme âge minimum de l'intéressé celui ressortant de l'examen de sa dentition et non pas celui découlant de la radiographie de sa main, dont on ne saurait tirer de conclusions définitives (cf. ATAF 2018 VI/3 consid. 4.2.1 s. ; arrêt du Tribunal E-4832/2024 du 19 février 2025 consid. 5.3.1). Au demeurant, l'âge minimum ainsi obtenu (14,9 ans, soit quatorze ans et près de onze mois) ne plaide pas en faveur de l'âge allégué par l'intéressé. Au contraire, il lui est aussi supérieur, bien que légèrement, et tend ainsi également à l'exclure. Les rapports d'expertises médico-légales joints au recours, réalisées dans le cadre d'autres procédures, ne sont pas pertinents en l'espèce, chaque cas nécessitant un examen individuel.</w:t>
      </w:r>
    </w:p>
    <w:p>
      <w:r>
        <w:rPr>
          <w:b/>
        </w:rPr>
        <w:t>E. 4.3.3</w:t>
      </w:r>
    </w:p>
    <w:p>
      <w:r>
        <w:t>Il sied enfin de relever que le recourant paraît avoir tenté d'induire en erreur les personnes chargées de mener à bien l'expertise médico-légale en indiquant ne jamais s'être rasé le visage, alors que son examen clinique a permis d'établir le contraire (pièce SEM 21/10, p. 2 s.). Cela nuit nécessairement à la crédibilité de ses déclarations et constitue ainsi un indice supplémentaire en défaveur de son âge allégué.</w:t>
      </w:r>
    </w:p>
    <w:p>
      <w:r>
        <w:rPr>
          <w:b/>
        </w:rPr>
        <w:t>E. 4.4</w:t>
      </w:r>
    </w:p>
    <w:p>
      <w:r>
        <w:t>Les éléments relevés ci-dessus, pris dans leur globalité, permettent de remettre en cause la date de naissance alléguée par le recourant. Même en faisant preuve de l'indulgence requise face à une jeune personne peu formée, provenant d'un pays aux usages particuliers et ayant entrepris un parcours de migration, le Tribunal estime que le caractère vague des propos du recourant et les indications inexactes qu'il a données au cours de l'expertise médico-légale révèlent plutôt une volonté de dissimuler son âge. En outre, et surtout, les allégations de l'intéressé sur ce point sont contredites par les résultats de l'expertise médico-légale. Dans ce contexte, le certificat de naissance déposé, eu égard à sa faible valeur probante (cf. consid. 4.2), n'apparait en rien décisif. Sur le vu de ce qui précède, la date de naissance fictive du (...) retenue par le SEM apparaît plus plausible que celle du (...). Autrement dit, celle-là est selon toute vraisemblance plus proche que celle-ci de sa véritable date de naissance.</w:t>
      </w:r>
    </w:p>
    <w:p>
      <w:r>
        <w:rPr>
          <w:b/>
        </w:rPr>
        <w:t>E. 4.5</w:t>
      </w:r>
    </w:p>
    <w:p>
      <w:r>
        <w:t>Rien n'indique par ailleurs que l'inscription dans SYMIC de la date de naissance du (...) ait été contraire à l'intérêt supérieur de l'intéressé au sens de l'art. 3 al. 1 de la Convention relative aux droits de l'enfant du 20 novembre 1989 (CDE ; RS 0.170), comme celui-ci le soutient. Cette convention ne lui est au demeurant plus applicable, dès lors qu'il a désormais atteint la majorité, selon la date de naissance retenue par le SEM.</w:t>
      </w:r>
    </w:p>
    <w:p>
      <w:r>
        <w:rPr>
          <w:b/>
        </w:rPr>
        <w:t>E. 5.1</w:t>
      </w:r>
    </w:p>
    <w:p>
      <w:r>
        <w:t>Compte tenu de ce qui précède, il ne se justifie pas de procéder à la rectification demandée, le SEM ayant retenu à raison, comme date de naissance principale du recourant, le (...). Il ressort de la décision querellée que le caractère litigieux de la donnée inscrite figure déjà dans SYMIC.</w:t>
      </w:r>
    </w:p>
    <w:p>
      <w:r>
        <w:rPr>
          <w:b/>
        </w:rPr>
        <w:t>E. 5.2</w:t>
      </w:r>
    </w:p>
    <w:p>
      <w:r>
        <w:t>Par conséquent, le recours doit être rejeté.</w:t>
      </w:r>
    </w:p>
    <w:p>
      <w:r>
        <w:rPr>
          <w:b/>
        </w:rPr>
        <w:t>E. 6</w:t>
      </w:r>
    </w:p>
    <w:p>
      <w:r>
        <w:t>Les demandes de restitution de l'effet suspensif et de mesures provisionnelles deviennent sans objet avec le présent arrêt.</w:t>
      </w:r>
    </w:p>
    <w:p>
      <w:r>
        <w:rPr>
          <w:b/>
        </w:rPr>
        <w:t>E. 7.1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n'étaient toutefois pas d'emblée vouées à l'échec et l'intéressé peut être tenu pour indigent, de sorte que la demande d'assistance judiciaire partielle doit être admise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