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E-6377/2009 vom 29. Dezember 2011</w:t>
      </w:r>
    </w:p>
    <w:p>
      <w:r>
        <w:t>Bundesverwaltungsgericht, 2011-12-29, FR</w:t>
      </w:r>
    </w:p>
    <w:p>
      <w:r>
        <w:rPr>
          <w:b/>
        </w:rPr>
        <w:t xml:space="preserve">Quelle: </w:t>
      </w:r>
      <w:r>
        <w:t>https://mcp.opencaselaw.ch/entscheid/bvger_E-6377_2009</w:t>
      </w:r>
    </w:p>
    <w:p>
      <w:r>
        <w:t>FR: TAF E-6377/2009 du 29 décembre 2011</w:t>
      </w:r>
    </w:p>
    <w:p>
      <w:r>
        <w:t>IT: TAF E-6377/2009 del 29 dicembre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renvoi de l'art. 105 LAsi,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et de renvoi peuvent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 Partant, le Tribunal est compétent pour connaître du présent litige.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2.1.1</w:t>
      </w:r>
    </w:p>
    <w:p>
      <w:r>
        <w:t>Quiconque demande l'asile (requérant) doit prouver ou du moins rendre vraisemblable qu'il est un réfugié. La qualité de réfugié est vraisemblable lorsque l'autorité estime que celle-ci est hautement probable.</w:t>
      </w:r>
    </w:p>
    <w:p>
      <w:r>
        <w:rPr>
          <w:b/>
        </w:rPr>
        <w:t>E. 2.1.2</w:t>
      </w:r>
    </w:p>
    <w:p>
      <w:r>
        <w:t>Des allégations sont vraisemblables, lorsque, sur les points essentiels, elles sont suffisamment fondées (ou : consistantes), concluantes (ou : constantes et cohérentes) et plausibles et que le requérant est personnellement crédible (cf. art. 7 al. 3 LAsi).</w:t>
      </w:r>
    </w:p>
    <w:p>
      <w:r>
        <w:rPr>
          <w:b/>
        </w:rPr>
        <w:t>E. 2.1.3</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formule de nouvelles de façon tardive et sans raison apparente ou s'il enfreint son obligation de collaborer (cf. art. 8 LAsi).</w:t>
      </w:r>
    </w:p>
    <w:p>
      <w:r>
        <w:rPr>
          <w:b/>
        </w:rPr>
        <w:t>E. 2.1.4</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Minh Son Nguyen, Droit public des étrangers, Berne 2003, p. 507 ss).</w:t>
      </w:r>
    </w:p>
    <w:p>
      <w:r>
        <w:rPr>
          <w:b/>
        </w:rPr>
        <w:t>E. 3</w:t>
      </w:r>
    </w:p>
    <w:p>
      <w:r>
        <w:t>En l'occurrence, le Tribunal considère que les allégations du recourant ne répondent pas aux exigences en matière de vraisemblance posées par l'art. 7 LAsi et que le recours ne contient aucun indice ni élément susceptible de modifier cette appréciation.</w:t>
      </w:r>
    </w:p>
    <w:p>
      <w:r>
        <w:rPr>
          <w:b/>
        </w:rPr>
        <w:t>E. 3.1</w:t>
      </w:r>
    </w:p>
    <w:p>
      <w:r>
        <w:t>Le recourant n'a produit aucun moyen de preuve probant qui viendrait appuyer ses déclarations concernant son engagement au sein des forces armées de l'UPK en 2006. En particulier, il ne fournit pas son contrat d'engagement et les explications qu'il avance, selon lesquelles un tel document ne lui aurait pas été remis lors de son recrutement, paraissent peu plausibles. Il ne fournit pas non plus de livret militaire, de carte d'identité militaire, de relevés des soldes perçues, ou tout autre document couramment employé au sein de l'organisation militaire d'un pays. Or, il était raisonnablement exigible de lui qu'il se les procure dans un délai approprié, ce d'autant que ses proches auraient été en possession de tels documents dans son pays et en mesure de les lui faire parvenir. Concernant le mandat d'arrêt daté du (...) 2007 que le recourant fournit à l'appui de son recours et qui attesterait des recherches engagées à son encontre, le Tribunal ne peut qu'émettre de sérieux doutes quant à son authenticité. En effet, il est rédigé sur fond de photocopie de mauvaise qualité, procédé qui ouvre la voie à toutes sortes de manipulations. Par ailleurs, le recourant ne fait savoir à aucun moment, malgré les requêtes du Tribunal, par quels moyens il est parvenu en possession de ce document ce qui met sérieusement en doute sa crédibilité. De plus, ce mandat d'arrêt aurait été délivré par une autorité civile [(...) / Tribunal de C._______] à la suite d'une plainte déposée auprès de la police civile, et non de la police militaire. Or, selon les informations dont dispose le Tribunal, le système judiciaire militaire irakien qui était certes peu développé jusqu'à la fin de l'année 2006, et ne permettait pas toujours de sanctionner légalement les soldats qui désertaient les rangs de l'armée, s'est doté de deux lois militaires au début de l'année 2007, à savoir un code de procédure judiciaire daté du 24 janvier 2007 et un code pénal daté du 5 février 2007. Ces deux textes donnent désormais les outils légaux nécessaires aux autorités militaires, notamment pour pouvoir poursuivre les déserteurs (cf. Anthony H. Cordesman, Iraqi Force Development and the Challenge of Civil War : The Critical Problems the US Must Adress if Iraqi Forces Are to Do the Job, 10 mai 2007, p. 152, en ligne sur le site Internet du Center for Strategic and International Studies &lt;http://csis.org&gt;, consulté le 28 novembre 2011). Dès lors, un mandat d'arrêt établi à l'encontre d'un peshmerga qui aurait déserté les rangs de l'armée devrait, logiquement, émaner des autorités militaires compétentes et non pas d'une autorité civile. Quant à la carte de membre de l'UPK, valable du 1er janvier 1998 au 1er janvier 1999, cette pièce n'est pas pertinente, dès lors qu'elle ne saurait apporter la preuve de son engagement actif auprès des forces armées de l'UPK en 2006.</w:t>
      </w:r>
    </w:p>
    <w:p>
      <w:r>
        <w:rPr>
          <w:b/>
        </w:rPr>
        <w:t>E. 3.2</w:t>
      </w:r>
    </w:p>
    <w:p>
      <w:r>
        <w:t>Par ailleurs, selon les informations à disposition du Tribunal, s'il est vrai, que des troupes des forces armées de l'UPK ont été déployées dans les provinces de Bagdad, Diyala, Salahaddin et Mossul en raison de l'augmentation de la violence sectaire dans ces régions en 2006, et que nombre de soldats ont déserté pour ne pas prendre part aux opérations militaires destinées au rétablissement de l'ordre public dans ces provinces, il s'agissait cependant de brigades spéciales de l'armée irakienne constituées d'anciens peshmergas (cf. The Progress of the Peshmerga Forces and their role in post-2003 Irak, 24 juin 2010, en ligne sur le site Internet &lt;http://www.kurdishaspect.com&gt;, consulté le 28 novembre 2011 and Kurdish troops from north deserting, Loyalties are with militia, not with Irak, 21 janvier 2007, en ligne sur le site Internet de The Boston Globe &lt;http://www.boston.com&gt;, consulté le 28 novembre 2011). Or, selon ses déclarations, le recourant aurait intégré les forces armées de l'UPK depuis quelques mois seulement. Il apparaît donc peu probable qu'il ait pu faire partie de l'une de ces brigades composées de peshmergas expérimentés. Il n'a par ailleurs pas fait mention de raison quelconque qui expliquerait pourquoi sa troupe aurait rejoint ces brigades spéciales. Dès lors, ses allégations n'apparaissent pas conciliables avec les faits connus par le Tribunal.</w:t>
      </w:r>
    </w:p>
    <w:p>
      <w:r>
        <w:rPr>
          <w:b/>
        </w:rPr>
        <w:t>E. 3.3</w:t>
      </w:r>
    </w:p>
    <w:p>
      <w:r>
        <w:t>A cela s'ajoute que les déclarations du recourant sont imprécises, trop peu circonstanciées et présentent des contradictions et des incohérences. D'une part, le recourant ne s'exprime pas avec un vocabulaire technique spécialisé et les descriptions qu'il fait, que ce soit de ses entrainements, de ses missions ou encore du matériel qu'il aurait eu à disposition, sont vagues. D'autre part, comme l'a remarqué l'ODM, les dates des événements relatés ne concordent pas d'une audition à l'autre et les déclarations font apparaître des divergences concernant les montants des soldes perçues. Les explications avancées dans le recours ne sont pas convaincantes et ne permettent pas de lever les doutes sur la véracité des faits allégués.</w:t>
      </w:r>
    </w:p>
    <w:p>
      <w:r>
        <w:rPr>
          <w:b/>
        </w:rPr>
        <w:t>E. 3.4</w:t>
      </w:r>
    </w:p>
    <w:p>
      <w:r>
        <w:t>Au vu de ce qui précède, c'est à bon droit que l'ODM a refusé de reconnaître la qualité de réfugié du recourant et a rejeté sa demande d'asile.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les art. 83 ss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et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w:t>
      </w:r>
    </w:p>
    <w:p>
      <w:r>
        <w:rPr>
          <w:b/>
        </w:rPr>
        <w:t>E. 6.5</w:t>
      </w:r>
    </w:p>
    <w:p>
      <w:r>
        <w:t>En l'occurrence, pour les mêmes raisons que celles exposées ci-dessus, le Tribunal estime que le recourant n'a pas rendu hautement probable qu'il serait personnellement visé, en cas de retour dans son pays d'origine, par des mesures incompatibles avec l'art. 3 CEDH ou d'autres dispositions contraignantes de droit international.</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et ATAF 2007/10 consid. 5.1).</w:t>
      </w:r>
    </w:p>
    <w:p>
      <w:r>
        <w:rPr>
          <w:b/>
        </w:rPr>
        <w:t>E. 7.2</w:t>
      </w:r>
    </w:p>
    <w:p>
      <w:r>
        <w:t>S'agissant du renvoi de ressortissants irakiens dans leur pays d'origine, le Tribunal considère que l'exécution du renvoi est raisonnablement exigible lorsque les intéressés sont originaires de l'une des trois provinces kurdes du nord de l'Irak (Dohuk, Erbil et Suleimaniya) ou qu'ils y ont vécu pendant une longue période, et qu'ils y disposent d'un réseau social (famille, parenté ou amis) ou de liens avec les partis dominants (cf. ATAF 2008/5 p. 57ss). Cette jurisprudence prend en considération les sérieuses difficultés que doivent affronter les intéressés lors de leur installation au Kurdistan, notamment pour trouver un emploi suffisamment rémunéré et un logement, et ce dans un contexte de forte augmentation du coût de la vie et de lacunes d'approvisionnement en eau potable, en énergie et en biens alimentaires, auxquelles le gouvernement kurde ne pallie que partiellement par des systèmes de rationnement ou de distribution publique. Dans ces conditions, il est important qu'en cas de retour au Kurdistan, les intéressés puissent compter sur un réseau social ou sur des liens avec les partis dominants (cf. ATAF 2008/5 consid. 7.5 in fine, p. 73) En l'espèce, il ne ressort du dossier aucun élément dont on pourrait inférer que l'exécution du renvoi impliquerait une mise en danger concrète du recourant. En effet, il est kurde, originaire de la province de Suleimaniya où il a toujours vécu. Il est jeune et au bénéfice d'une expérience professionnelle qui devrait lui permettre de retrouver un emploi. À cela s'ajoute qu'il est censé disposer d'un réseau social dans sa province sur lequel il pourra compter à son retour.</w:t>
      </w:r>
    </w:p>
    <w:p>
      <w:r>
        <w:rPr>
          <w:b/>
        </w:rPr>
        <w:t>E. 7.3</w:t>
      </w:r>
    </w:p>
    <w:p>
      <w:r>
        <w:t>S'agissant plus spécifiquement des personnes en traitement médical en Suisse, l'exécution ne devient inexigible, en cas de retour dans le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(cf. JICRA 2003 n° 24). En l'occurrence, le recourant n'a pas donné suite à l'invitation du Tribunal de produire un rapport médical complet, précisant la date, la nature et la cause de l'intervention chirurgicale subie (...), ainsi que la durée prévisible du handicap qu'il présente selon le certificat médical du 1er octobre 2009, et l'influence précise de ce handicap sur sa capacité de travail, les éventuels traitements prescrits, leur durée prévisible et le pronostic, avec ou sans traitement. Partant, aucun élément du dossier ne permet d'admettre que les problèmes de santé dont le recourant souffrirait seraient susceptibles de constituer un obstacle au renvoi.</w:t>
      </w:r>
    </w:p>
    <w:p>
      <w:r>
        <w:rPr>
          <w:b/>
        </w:rPr>
        <w:t>E. 7.4</w:t>
      </w:r>
    </w:p>
    <w:p>
      <w:r>
        <w:t>Au vu de ce qui précède, l'exécution du renvoi doit être considérée comme raisonnablement exigible, au sens de l'art. 83 al. 4 LEtr.</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 9.1. Au vu de ce qui précède, l'exécution du renvoi doit être considérée comme conforme aux dispositions légales. 9.2. Il s'ensuit que le recours, en tant qu'il conteste le renvoi et son exécution, doit être également rejeté.</w:t>
      </w:r>
    </w:p>
    <w:p>
      <w:r>
        <w:rPr>
          <w:b/>
        </w:rPr>
        <w:t>E. 10</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les conclusions du recours n'étant pas apparues, d'emblée, vouées à l'échec et le recourant ayant établi son indigence, la demande d'assistance judiciaire partielle est admise (cf. art. 65 al. 1 PA). Il est donc renoncé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