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E-6373/2020 vom 23. Dezember 2020</w:t>
      </w:r>
    </w:p>
    <w:p>
      <w:r>
        <w:t>Bundesverwaltungsgericht, 2020-12-23, DE</w:t>
      </w:r>
    </w:p>
    <w:p>
      <w:r>
        <w:rPr>
          <w:b/>
        </w:rPr>
        <w:t xml:space="preserve">Quelle: </w:t>
      </w:r>
      <w:r>
        <w:t>https://mcp.opencaselaw.ch/entscheid/bvger_E-6373_2020</w:t>
      </w:r>
    </w:p>
    <w:p>
      <w:r>
        <w:t>FR: TAF E-6373/2020 du 23 décembre 2020</w:t>
      </w:r>
    </w:p>
    <w:p>
      <w:r>
        <w:t>IT: TAF E-6373/2020 del 23 dicembre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2 AsylG und Art. 52 Abs. 1 VwVG).</w:t>
      </w:r>
    </w:p>
    <w:p>
      <w:r>
        <w:rPr>
          <w:b/>
        </w:rPr>
        <w:t>E. 2</w:t>
      </w:r>
    </w:p>
    <w:p>
      <w:r>
        <w:t>Das Verfahren richtet sich nach dem VwVG, soweit das VGG oder AsylG nichts anderes bestimmen (Art. 37 VGG; Art. 6 und Art. 105 ff. AsylG).</w:t>
      </w:r>
    </w:p>
    <w:p>
      <w:r>
        <w:rPr>
          <w:b/>
        </w:rPr>
        <w:t>E. 3.1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3.2</w:t>
      </w:r>
    </w:p>
    <w:p>
      <w:r>
        <w:t>Über offensichtlich begründete Beschwerden wird in einzelrichterlicher Zuständigkeit mit Zustimmung einer zweiten Richterin bzw. eines zweiten Richters entschieden (Art. 111 Bst. e AsylG). Vorliegend handelt es sich, wie nachfolgend aufgezeigt wird, um eine solche, weshalb auf einen Schriftenwechsel verzichtet und der vorliegende Entscheid nur summarisch begründet wird (Art. 111a Abs. 1 und 2 AsylG).</w:t>
      </w:r>
    </w:p>
    <w:p>
      <w:r>
        <w:rPr>
          <w:b/>
        </w:rPr>
        <w:t>E. 4</w:t>
      </w:r>
    </w:p>
    <w:p>
      <w:r>
        <w:t>Bei Beschwerden gegen Nichteintretensentscheide, mit denen es das SEM ablehnt, das Asylgesuch auf seine Begründetheit hin zu überprüfen (Art. 31a Abs. 1 - 3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macht geltend, die Vorinstanz hätte das Verfahren nicht gestützt auf die Dublin-III-VO durchführen dürfen, da er in Italien über einen subsidiären Schutzstatus verfüge. Vielmehr hätte sie gemäss dem Abkommen vom 10. September 1998 zwischen der Schweizerischen Eidgenossenschaft und der Italienischen Republik über die Rückübernahme von Personen mit unbefugtem Aufenthalt (SR 0.142.114.549, nachfolgend: Rückübernahmeabkommen) vorgehen müssen. Er dürfe erst nach Erhalt der Erlaubnis der Rückübernahme der italienischen Behörden an diejenigen übergeben werden.</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5.3</w:t>
      </w:r>
    </w:p>
    <w:p>
      <w:r>
        <w:t>Die Anwendung von Art. 31a Abs. 1 Bst. b AsylG ist ausgeschlossen, wenn eine Person bereits von einem anderen Mitgliedstaat der Dublin-III-Verordnung als Flüchtling anerkannt wurde oder subsidiären Schutz erhalten hat (vgl. BVGE 2010/56, insb. E. 2.2 und E. 5.2.3 zu aArt. 34 AsylG). Die Rückübernahme anerkannter Flüchtlinge und Personen mit subsidiärem Schutz wird zwischen der Schweiz und den anderen Mitgliedstaaten durch bilaterale Abkommen geregelt (vgl. Handbuch Asyl und Rückkehr des SEM, C3 - Das Dublin-Verfahren, Kp. 2.3.11).</w:t>
      </w:r>
    </w:p>
    <w:p>
      <w:r>
        <w:rPr>
          <w:b/>
        </w:rPr>
        <w:t>E. 5.4</w:t>
      </w:r>
    </w:p>
    <w:p>
      <w:r>
        <w:t>Der Beschwerdeführer verfügt in Italien über einen subsidiären Schutzstatus. Dies ist insbesondere aus dem zu den Akten gereichten Reisedokument für Ausländer ersichtlich, welches ihm am 16. Dezember 2019 durch die italienischen Behörden ausgestellt wurde und bis am 21. März 2024 Gültigkeit hat. Die Vorinstanz hat demnach zu Unrecht einen Nichteintretensentscheid gestützt auf Art. 31 Abs. 1 Bst. b AsylG gefällt.</w:t>
      </w:r>
    </w:p>
    <w:p>
      <w:r>
        <w:rPr>
          <w:b/>
        </w:rPr>
        <w:t>E. 5.5</w:t>
      </w:r>
    </w:p>
    <w:p>
      <w:r>
        <w:t>Das SEM tritt gemäss Art. 31a Abs. 1 Bst. a AsylG auf ein Asylgesuch nicht ein, wenn Asylsuchende in einen sicheren Drittstaat nach Art. 6a Abs. 2 Bst. b AsylG zurückkehren können, in welchem sie sich vorher aufgehalten haben.</w:t>
      </w:r>
    </w:p>
    <w:p>
      <w:r>
        <w:rPr>
          <w:b/>
        </w:rPr>
        <w:t>E. 5.6</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5.7</w:t>
      </w:r>
    </w:p>
    <w:p>
      <w:r>
        <w:t>Wie der Bundesrat bereits in seiner Botschaft zur Einführung des Nichteintretenstatbestandes der Drittstaatenregelung festhielt (vgl. Botschaft zur Änderung des AsylG vom 4. September 2002, BBl 2002 6849 f. zu aArt. 34 AsylG), wird für die Anwendung dieser gesetzlichen Bestimmung nebst dem - vorliegend unbestrittenen - Aufenthalt in einem sicheren Drittstaat vorausgesetzt, dass eine Rückübernahmezusicherung des Drittstaates verlangt und ausgestellt wurde (vgl. auch BVGE 2010/56 E. 5.2.2 und Urteil des BVGer D-2469/2020 vom 5. Juni 2020). Solches ist indessen aus den vorliegenden Akten nicht ersichtlich. Zwar hat die Vorinstanz die italienischen Behörden um Übernahme des Beschwerdeführers im Sinne von Art. 18 Abs. 1 Bst. b Dublin-III-VO ersucht. Ein Ersuchen um Rückübernahme gestützt auf das Rückübernahmeabkommen wurde aber offenbar bis anhin nicht gestellt. Demnach fehlt es auch an einer entsprechenden Rückübernahmezusicherung der italienischen Behörden, deren Vorliegen indes die Voraussetzung für die Anwendung von Art. 31a Abs. 1 Bst. a AsylG bildet.</w:t>
      </w:r>
    </w:p>
    <w:p>
      <w:r>
        <w:rPr>
          <w:b/>
        </w:rPr>
        <w:t>E. 5.8</w:t>
      </w:r>
    </w:p>
    <w:p>
      <w:r>
        <w:t>Nach dem Gesagten hat die Vorinstanz keine Rückübernahmezusicherung eingeholt und damit den Sachverhalt unvollständig erstellt. Eine Heilung der festgestellten Rechtsverletzung des SEM durch das Bundesverwaltungsgericht im Rahmen eines reformatorischen Urteils fällt nicht in Betracht, zumal voraussichtlich weitere Instruktionsmassnahmen durch das SEM vorzunehmen sind. Die Sache ist zur Neubeurteilung und neuem Entscheid an das SEM zurückzuweisen</w:t>
      </w:r>
    </w:p>
    <w:p>
      <w:r>
        <w:rPr>
          <w:b/>
        </w:rPr>
        <w:t>E. 6</w:t>
      </w:r>
    </w:p>
    <w:p>
      <w:r>
        <w:t>Die Beschwerde ist gutzuheissen.</w:t>
      </w:r>
    </w:p>
    <w:p>
      <w:r>
        <w:rPr>
          <w:b/>
        </w:rPr>
        <w:t>E. 7</w:t>
      </w:r>
    </w:p>
    <w:p>
      <w:r>
        <w:t>Bei diesem Ausgang des Verfahrens sind keine Kosten zu erheben (Art. 63 Abs. 1 und 2 VwVG).</w:t>
      </w:r>
    </w:p>
    <w:p>
      <w:r>
        <w:rPr>
          <w:b/>
        </w:rPr>
        <w:t>E. 8</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9</w:t>
      </w:r>
    </w:p>
    <w:p>
      <w:r>
        <w:t>Mit dem vorliegenden Urteil sind die Gesuche um Gewährung er aufschiebenden Wirkung der Beschwerde, der unentgeltlichen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