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E-6372/2016 vom 3. November 2016</w:t>
      </w:r>
    </w:p>
    <w:p>
      <w:r>
        <w:t>Bundesverwaltungsgericht, 2016-11-03, DE</w:t>
      </w:r>
    </w:p>
    <w:p>
      <w:r>
        <w:rPr>
          <w:b/>
        </w:rPr>
        <w:t xml:space="preserve">Quelle: </w:t>
      </w:r>
      <w:r>
        <w:t>https://mcp.opencaselaw.ch/entscheid/bvger_E-6372_2016</w:t>
      </w:r>
    </w:p>
    <w:p>
      <w:r>
        <w:t>FR: TAF E-6372/2016 du 3 novembre 2016</w:t>
      </w:r>
    </w:p>
    <w:p>
      <w:r>
        <w:t>IT: TAF E-6372/2016 del 3 novembre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implizit nur gegen den von der Vorinstanz verfügten Wegweisungsvollzug. Damit ist die Verfügung der Vorinstanz vom 16. September 2016, soweit sie die Verneinung der Flüchtlingseigenschaft, Verweigerung des Asyls sowie die Wegweisung als solche betrifft, in Rechtskraft erwachsen.</w:t>
      </w:r>
    </w:p>
    <w:p>
      <w:r>
        <w:rPr>
          <w:b/>
        </w:rPr>
        <w:t>E. 5.1</w:t>
      </w:r>
    </w:p>
    <w:p>
      <w:r>
        <w:t>Aufgrund der Abweisung seines Asylgesuchs wies die Vorinstanz den Beschwerdeführer aus der Schweiz weg. Wegen der fehlenden Flüchtlingseigenschaft sei der Grundsatz der Nichtrückschiebung gemäss Art. 5 Abs. 1 AsylG nicht anwendbar und aus den Akten würden sich keine Anhaltspunkte ergeben, dass ihm im Falle einer Rückkehr in seinen Heimatstaat mit beachtlicher Wahrscheinlichkeit eine durch Art. 3 EMRK verbotene Strafe oder Behandlung drohe. Eine Rückkehr nach Sri Lanka erweise sich auch unter Berücksichtigung der allgemeinen Richtlinien der Konvention vom 20. November 1989 über die Rechte des Kindes (KRK, SR 0.107) als zulässig. Aufgrund von substantiellen Verbesserungen sei sodann ein Wegweisungsvollzug nach Sri Lanka - namentlich auch ins Vanni-Gebiet - grundsätzlich zumutbar. Die Abklärungen der Schweizer Botschaft zu seinem familiären Netz hätten sodann ergeben, dass er seit März 2010 bei der (...) in C._______ gelebt und dort die Schule besucht habe. Zudem habe er auch Verwandte ausserhalb des Vanni-Gebiets. Seine (...) lebe in D._______, E._______, Jaffna und erhalte von seiner in der Schweiz lebenden (...) monatlich Geld. Erstere werde auch von der Cousine seiner Mutter und Nachbarn unterstützt. Der Beschwerdeführer verfüge somit über ein familiäres Netz in und ausserhalb des Vanni-Gebiets, welches ihn aufnehmen und tragen könne. Der Botschaftsbericht habe zudem ergeben, dass drei seiner Onkel mütterlicherseits in London leben würden, welche ihn zusammen mit seiner in der Schweiz lebenden (...) finanziell unterstützen könnten. Schliesslich sei nach eineinhalb Jahren in der Schweiz nicht von einer kulturellen Entwurzelung auszugehen und es bestehe keine genügend starke Bindung zu seiner (...) in der Schweiz, welche er vor seiner Einreise kaum gekannt habe. Der Vollzug der Wegweisung nach Sri Lanka erweise sich als zumutbar und sei technisch möglich sowie praktisch durchführbar.</w:t>
      </w:r>
    </w:p>
    <w:p>
      <w:r>
        <w:rPr>
          <w:b/>
        </w:rPr>
        <w:t>E. 5.2</w:t>
      </w:r>
    </w:p>
    <w:p>
      <w:r>
        <w:t>Der Beschwerdeführer führt in seiner Beschwerde im Wesentlichen aus, eine Wegweisung sei aufgrund von Art. 3 EMRK unzulässig. Neben der eigentlichen Folter seien auch schwere körperliche Misshandlungen und Körperstrafen, insbesondere auch ernsthafte häusliche Gewalt und Misshandlung, von diesem Artikel erfasst. Der Beschwerdeführer sei von seinem Vater beinahe täglich misshandelt worden, was er jedoch aus Schamgefühl in der BzP nicht erwähnt habe. Seine Vertrauensperson habe im Gespräch mit seiner Rechtsvertreterin bestätigt, dass er (Beschwerdeführer) bereits nach wenigen Wochen in der Schule in der Schweiz durch ein auffälliges, teils aggressives aber auch nicht alterskonformes sexualisiertes Verhalten aufgefallen sei. Die Vorinstanz habe es unterlassen, ihn vertieft zu den Misshandlungen zu befragen. Entgegen der Ansicht der Vor-instanz sei eine Wegweisung ins Vanni-Gebiet unzumutbar. Er habe keinen Kontakt zu seiner Familie mütterlicherseits gehabt und kenne seine (...) nicht. Er verfüge in Sri Lanka nicht über ein tragfähiges soziales Beziehungs- und Familiennetz ausserhalb des Vanni-Gebiets. Hingegen sei seine in der Schweiz lebende (...) eine wichtige Bezugsperson für ihn. Die Vorinstanz habe es weiter unterlassen, die völkerrechtlichen Verpflichtungen der Schweiz betreffend der KRK bei der Prüfung der Zumutbarkeit gebührend zu berücksichtigen.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Diese drei Bedingungen für einen Verzicht auf den Vollzug der Wegweisung (Unzulässigkeit, Unzumutbarkeit, Unmöglichkeit) sind alternativer Natur: Sobald eine von ihnen erfüllt ist, erweist sich der Vollzug der Wegweisung als undurchführbar.</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Gesichtspunkt von gewichtiger Bedeutung. Dies ergibt sich nicht zuletzt aus einer völkerrechtskonformen Auslegung von Art. 83 Abs. 4 AuG im Lichte von Art. 3 Abs. 1 KRK. In diesem Zusammenhang bleibt festzuhalten, dass unter dem Aspekt des Kindeswohls sämtliche Umstände einzubeziehen und zu würdigen sind, die im Hinblick auf einen Wegweisungsvollzug wesentlich erscheinen. Im Falle von unbegleiteten minderjährigen Asylsuchenden ergibt sich daraus für die Asylbehörden die Verpflichtung, von Amtes wegen abzuklären, welche Situation sich für den unbegleiteten Minderjährigen im Falle der Rückkehr realistischerweise ergeben könnte. In der Praxis ist deshalb nicht nur abzuklären, ob das Kind im Falle der Rückkehr in den Heimat- oder Herkunftsstaat im Sinne von Art. 83 Abs. 4 AuG konkret gefährdet wäre, sondern auch, ob das Kind zu seinen Eltern oder anderen Angehörigen zurückgeführt werden kann und ob diese in der Lage sind, seine (dem Alter, der physischen und psychischen Verfassung, der Herkunft etc. entsprechenden)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Dabei genügt es praxisgemäss nicht, bloss festzustellen, dass im Heimat- oder Herkunftsland Eltern oder andere Angehörige leben beziehungsweise es im betreffenden Land Einrichtungen gebe, die sich um alleinstehende Kinder oder Jugendliche kümmern würden. Es ist vielmehr konkret abzuklären, ob das betreffende Kind tatsächlich in sein familiäres Umfeld zurückgeführt werden kann beziehungsweise ob es - wo das nicht möglich ist oder nicht dem Wohl des Kindes entspricht - anderweitig untergebracht werden kann (vgl. zum Ganzen: Entscheidungen und Mitteilungen der Schweizerischen Asylrekurskommission [EMARK] 1998 Nr. 13, insbesondere E. 5e/bb; Urteil des Bundesverwaltungsgerichts D-964/2015 vom 4. Oktober 2016 E. 5.3.2).</w:t>
      </w:r>
    </w:p>
    <w:p>
      <w:r>
        <w:rPr>
          <w:b/>
        </w:rPr>
        <w:t>E. 7</w:t>
      </w:r>
    </w:p>
    <w:p>
      <w:r>
        <w:t>Die Vorinstanz hält in ihrer Verfügung fest, dass der Beschwerdeführer in Sri Lanka über ein familiäres Netz bestehend aus der im Vanni-Gebiet lebenden (...) und der in Jaffna lebenden (...) mütterlicherseits verfüge. Sie verzichtete jedoch darauf, konkret abzuklären, ob der Beschwerdeführer tatsächlich zu diesen Angehörigen zurückgeführt werden kann und ob diese in der Lage und gewillt sind, seine Bedürfnisse abzudecken. Weiter klärte sie nicht ab, ob eine Rückführung in sein familiäres Umfeld seinem Kindeswohl entspricht oder ob Hinweise auf häusliche Gewalt vorliegen und er allenfalls anderweitig untergebracht werden kann. Es liegen keine hinreichend gesicherten Erkenntnisse betreffend die Verhältnisse für die Rückkehr des Beschwerdeführers nach Sri Lanka vor. Auch lässt sich aus den Ausführungen der Vorinstanz nicht schliessen, dass in Sri Lanka geeignete Betreuungsangebote für Minderjährige ohne familiäre Bindungen vorhanden sind, für den Fall, dass er nicht bei seinen Verwandten unterkommen könnte. Die Vorinstanz hat den entscheidwesentlichen Sachverhalt in Bezug auf die Durchführbarkeit des Wegweisungsvollzugs nicht vollständig und rechtsgenüglich abgeklärt.</w:t>
      </w:r>
    </w:p>
    <w:p>
      <w:r>
        <w:rPr>
          <w:b/>
        </w:rPr>
        <w:t>E. 8</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Unter den vorliegenden Umständen rechtfertigt sich gemäss Praxis des Bundesverwaltungsgerichts die Kassation der angefochtenen Verfügung. Zudem bleibt dem Beschwerdeführer auf diese Weise der Instanzenzug erhalten, was umso wichtiger ist, als im Asylverfahren das Bundesverwaltungsgericht letztinstanzlich entscheidet (vgl. dazu BVGE 2009/53 E. 7.3, BVGE 2008/47 E. 3.3.4, BVGE 2008/14 E. 4.1). Die Vorinstanz ist insbesondere anzuweisen, konkrete Abklärungen zur Rückführung als solches und zur Zumutbarkeit eines allfälligen Wegweisungsvollzugs nach Sri Lanka vorzunehmen.</w:t>
      </w:r>
    </w:p>
    <w:p>
      <w:r>
        <w:rPr>
          <w:b/>
        </w:rPr>
        <w:t>E. 9</w:t>
      </w:r>
    </w:p>
    <w:p>
      <w:r>
        <w:t>Zusammenfassend ist festzuhalten, dass die Beschwerde gutzuheissen und die vorinstanzliche Verfügung hinsichtlich des Wegweisungsvollzugs (Dispositivziffern 4 und 5) abzuweisen ist. Die Sache ist diesbezüglich an die Vorinstanz zur Neubeurteilung zurückzuweisen.</w:t>
      </w:r>
    </w:p>
    <w:p>
      <w:r>
        <w:rPr>
          <w:b/>
        </w:rPr>
        <w:t>E. 10.1</w:t>
      </w:r>
    </w:p>
    <w:p>
      <w:r>
        <w:t>Bei diesem Ausgang des Verfahrens sind keine Verfahrenskosten aufzuerlegen (Art. 63 Abs. 1 und 2 VwVG). Das Gesuch um Verzicht auf die Erhebung von Verfahrenskosten nach Art. 65 Abs. 1 VwVG wird somit hinfällig.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des Beschwerdeführers hat mit Eingabe der Beschwerdeschrift eine Honorarnote eingereicht. Gestützt auf die in Betracht zu ziehenden Bemessungsfaktoren (Art. 9-13 VGKE) erscheint es angemessen, den geltend gemachten zeitlichen Aufwand um eine Stunde auf fünf Stunden zu kürzen und dem Beschwerdeführer Fr. 1'026.- (inklusive Auslagen und Mehrwertsteuer) zuzusprechen. Dieser Betrag ist dem Beschwerdeführer durch die Vorinstanz zu entrichten. Das Gesuch um Beiordnung der rubrizierten Rechtsvertreterin als amtliche Rechtsbeiständin wird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