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E-6372/2013 vom 3. Dezember 2013</w:t>
      </w:r>
    </w:p>
    <w:p>
      <w:r>
        <w:t>Bundesverwaltungsgericht, 2013-12-03, DE</w:t>
      </w:r>
    </w:p>
    <w:p>
      <w:r>
        <w:rPr>
          <w:b/>
        </w:rPr>
        <w:t xml:space="preserve">Quelle: </w:t>
      </w:r>
      <w:r>
        <w:t>https://mcp.opencaselaw.ch/entscheid/bvger_E-6372_2013</w:t>
      </w:r>
    </w:p>
    <w:p>
      <w:r>
        <w:t>FR: TAF E-6372/2013 du 3 décembre 2013</w:t>
      </w:r>
    </w:p>
    <w:p>
      <w:r>
        <w:t>IT: TAF E-6372/2013 del 3 dicembre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Demnach ist das Bundesverwaltungsgericht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worden ist und Anspruch auf Erlass einer Verfügung besteht. Ein Anspruch ist anzunehmen, wenn die Behörde verpflichtet ist, in Verfügungsform zu handeln, und der ansprechenden Person nach Art. 6 i.V.m. Art. 48 Abs. 1 VwVG Parteistellung zukommt (vgl. BVGE 2008/15 E. 3.2, mit Hinweisen). Da der Beschwerdeführer um Behandlung seines Asylgesuchs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 Nachdem sowohl die Schreiben vom 9. Oktober 2012, vom 22. Januar 2013 und vom 24. Mai 2013 als auch dasjenige vom 17. September 2013, in welchem rechtliche Schritte in Aussicht gestellt worden waren für den Fall, dass der Beschwerdeführer innert vier Wochen nicht zu einer Anhörung vorgeladen werde, unbeantwortet geblieben waren und der Beschwerdeführer bis zum heutigen Zeitpunkt nicht zu einer Anhörung vorgeladen worden war, durfte er im November 2013 nach Treu und Glauben annehmen, auch vorderhand nicht angehört zu werden. Angesichts dessen erweist sich die am 13. November 2013 beim Bundesverwaltungsgericht - wie in Aussicht gestellt - erhobene Beschwerde als fristgerecht. Auf die frist- und formgerecht eingereichte Beschwerde ist einzutreten.</w:t>
      </w:r>
    </w:p>
    <w:p>
      <w:r>
        <w:rPr>
          <w:b/>
        </w:rPr>
        <w:t>E. 1.4</w:t>
      </w:r>
    </w:p>
    <w:p>
      <w:r>
        <w:t>Gestützt auf Art. 111a Abs. 1 AsylG wurde vorliegend auf einen Schriftenwechsel verzichtet.</w:t>
      </w:r>
    </w:p>
    <w:p>
      <w:r>
        <w:rPr>
          <w:b/>
        </w:rPr>
        <w:t>E. 2</w:t>
      </w:r>
    </w:p>
    <w:p>
      <w:r>
        <w:t>In der Rechtsmitteleingabe wird im Wesentlichen mit Verweis auf das Urteil des Bundesverwaltungsgerichts E 6418/2012 vom 26. Februar 2013 ausgeführt, das Asylverfahren sei entgegen den gesetzlichen Behandlungsfristen seit mehr als zwei Jahren hängig, wobei das BFM den Beschwerdeführer weder angehört noch auch nur auf seine Briefe geantwortet habe.</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Verwaltungsinstanzen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Deshalb verletzt eine Behörde das Rechtsverzögerungsverbot auch dann, wenn sie wegen Personalmangels oder Überlastung nicht innert angemessener Frist verfügt (vgl. Felix Uhlmann / Simone Wälle-Bär, in: Praxiskommentar VwVG, Waldmann/Weissenberger (Hrsg.), Zürich 2009, Art. 46a N 20).</w:t>
      </w:r>
    </w:p>
    <w:p>
      <w:r>
        <w:rPr>
          <w:b/>
        </w:rPr>
        <w:t>E. 3.3.1</w:t>
      </w:r>
    </w:p>
    <w:p>
      <w:r>
        <w:t>Gemäss Art. 29 Abs. 1 AsylG hört das Bundesamt die Asylsuchenden zu den Asylgründen in den Empfangsstellen (Bst. a) oder innerhalb von 20 Tagen nach dem Entscheid über die Zuweisung in den Kanton an (Bst. b).</w:t>
      </w:r>
    </w:p>
    <w:p>
      <w:r>
        <w:rPr>
          <w:b/>
        </w:rPr>
        <w:t>E. 3.3.2</w:t>
      </w:r>
    </w:p>
    <w:p>
      <w:r>
        <w:t>Gemäss Art. 37 AsylG sind Entscheide nach den Art. 38-40 in der Regel innerhalb von 20 Arbeitstagen nach der Gesuchstellung zu treffen (Abs. 2). Sind weitere Abklärungen nach Art. 41 erforderlich, so ist der Entscheid in der Regel innerhalb von drei Monaten nach der Gesuchstellung zu treffen (Abs. 3).</w:t>
      </w:r>
    </w:p>
    <w:p>
      <w:r>
        <w:rPr>
          <w:b/>
        </w:rPr>
        <w:t>E. 4.1</w:t>
      </w:r>
    </w:p>
    <w:p>
      <w:r>
        <w:t>Dem Bundesverwaltungsgericht ist bekannt, dass die Vorinstanz Massnahmen getroffen hat, um die Pendenzen abzubauen. In Anbetracht der hohen Pendenz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37 AsylG ("in der Regel") zum Ausdruck kommt.</w:t>
      </w:r>
    </w:p>
    <w:p>
      <w:r>
        <w:rPr>
          <w:b/>
        </w:rPr>
        <w:t>E. 4.2</w:t>
      </w:r>
    </w:p>
    <w:p>
      <w:r>
        <w:t>Der Beschwerdeführer reichte am 5. August 2011 ein Asylgesuch ein. Am 22. August 2011 fand die Befragung zu seiner Person statt. Mit Entscheid vom 24. August 2011 wurde er für die Dauer des Verfahrens dem Kanton C._______ zugewiesen. Seither, mithin seit rund zwei Jahren und drei Monaten, hat die Vorinstanz keine weiteren erkennbaren Verfahrenshandlungen vorgenommen. So fehlt es offenbar bis zum heutigen Zeitpunkt sowohl an einer Anhörung des Beschwerdeführers zu seinen Asylgründen als auch an einer das erstinstanzliche Asylverfahren abschliessenden anfechtbaren Verfügung. Eine entsprechende Anhörung hätte in Anwendung von Art. 29 Abs. 1 Bst. a und b AsylG entweder während des Aufenthalts im EVZ B._______ oder innert 20 Tagen nach dem Zuweisungsentscheid an den Kanton C._______, mithin bis zum 16. März 2011, erfolgen müssen, während gestützt auf Art. 37 Abs. 2 und 3 AsylG eine anfechtbare Verfügung innerhalb von 20 Arbeitstagen beziehungsweise innerhalb von drei Monaten nach der Einreichung des Asylgesuchs hätte ergehen müssen. Im Weiteren ist festzuhalten, dass sich in casu weder besonders schwierige Sachverhalts- noch Rechtsfragen stellen. Zudem hat die Vorinstanz im massgebenden Zeitraum zahlreiche Verfahren, die im gleichen Zeitraum oder später eingeleitet wurden, bereits entschieden. Besonders schwer wiegt indes, dass sie auf keines der zahlreichen Schreiben des Beschwerdeführers geantwortet und damit auch ihre Untätigkeit nicht begründet hat. Zusammenfassend ergibt sich, dass die Vorinstanz die in Art. 29 Abs. 1 sowie Art. 37 Abs. 2 und 3 AsylG vorgegebenen Behandlungsfristen um mehr als zwei Jahre überschritten hat, was einer massiven Überschreitung entspricht. Sie hat den Beschwerdeführer bis anhin weder zu seinen Asylgründen angehört noch eine anfechtbare Verfügung erlassen. Eine Nichtbehandlung während dieses Zeitraums ist unbesehen allfälliger anderer überzeitiger Verfahren grundsätzlich zu lange. Das Beschleunigungsgebot von Art. 29 Abs. 1 BV ist somit verletzt.</w:t>
      </w:r>
    </w:p>
    <w:p>
      <w:r>
        <w:rPr>
          <w:b/>
        </w:rPr>
        <w:t>E. 5</w:t>
      </w:r>
    </w:p>
    <w:p>
      <w:r>
        <w:t>Die Rüge der Rechtsverzögerung erweist sich nach dem Gesagten als begründet, weshalb die Beschwerde gutzuheissen ist. Die Akten gehen an die Vorinstanz zurück, verbunden mit der Anweisung, das Asylgesuch des Beschwerdeführers vom 5. August 2011 beförderlich zu behandeln, ihn zügig zu seinen Asylgründen anzuhören und das Asylgesuch baldmöglichst einer anfechtbaren Verfügung zuzuführen.</w:t>
      </w:r>
    </w:p>
    <w:p>
      <w:r>
        <w:rPr>
          <w:b/>
        </w:rPr>
        <w:t>E. 6.1</w:t>
      </w:r>
    </w:p>
    <w:p>
      <w:r>
        <w:t>Bei diesem Ausgang des Beschwerdeverfahrens sind keine Kosten aufzuerlegen (Art. 63 Abs. 1 VwVG). Die Gesuche um Verzicht auf die Erhebung von Verfahrenskosten und eines Kostenvorschusses sind infolgedessen als gegenstandslos zu betrachten.</w:t>
      </w:r>
    </w:p>
    <w:p>
      <w:r>
        <w:rPr>
          <w:b/>
        </w:rPr>
        <w:t>E. 6.2.1</w:t>
      </w:r>
    </w:p>
    <w:p>
      <w:r>
        <w:t>Dem rechtlich vertretenen Beschwerdeführer ist angesichts seines Obsiegens zulasten der Vorinstanz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sowie allfällige weitere notwendige Auslagen der Partei. Das Gesuch um unentgeltliche Beiordnung eines Anwalts hat sich somit erübrigt. Das Gericht setzt die Parteientschädigung aufgrund der eingereichten Kostennote oder, mangels Einreichung einer solchen, aufgrund der Akten fest (Art. 8, Art. 9 und Art. 14 Abs. 2 VGKE).</w:t>
      </w:r>
    </w:p>
    <w:p>
      <w:r>
        <w:rPr>
          <w:b/>
        </w:rPr>
        <w:t>E. 6.2.2</w:t>
      </w:r>
    </w:p>
    <w:p>
      <w:r>
        <w:t>Der Rechtsvertreter hat keine Kostennote eingereicht. Auf entsprechende Nachforderung kann verzichtet werden, da der notwendige Vertretungsaufwand aufgrund der Akten zuverlässig abgeschätzt werden kann. Unter Berücksichtigung der massgebenden Berechnungsfaktoren (Art. 8, Art. 9 und Art. 11 VGKE) ist die Parteientschädigung auf Fr. 800.- (inkl. Auslagen und Mehrwertsteuer) festzusetzen und die Vorinstanz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