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E-6371/2008 vom 1. September 2010</w:t>
      </w:r>
    </w:p>
    <w:p>
      <w:r>
        <w:t>Bundesverwaltungsgericht, 2010-09-01, FR</w:t>
      </w:r>
    </w:p>
    <w:p>
      <w:r>
        <w:rPr>
          <w:b/>
        </w:rPr>
        <w:t xml:space="preserve">Quelle: </w:t>
      </w:r>
      <w:r>
        <w:t>https://mcp.opencaselaw.ch/entscheid/bvger_E-6371_2008</w:t>
      </w:r>
    </w:p>
    <w:p>
      <w:r>
        <w:t>FR: TAF E-6371/2008 du 1 septembre 2010</w:t>
      </w:r>
    </w:p>
    <w:p>
      <w:r>
        <w:t>IT: TAF E-6371/2008 del 1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L'intéressé a qualité pour recourir. Présenté dans la forme et les délais prescrits par la loi, le recours est recevable (art. 48 et 52 PA et 108 al. 1 LAsi).</w:t>
      </w:r>
    </w:p>
    <w:p>
      <w:r>
        <w:rPr>
          <w:b/>
        </w:rPr>
        <w:t>E. 2</w:t>
      </w:r>
    </w:p>
    <w:p>
      <w:r>
        <w:t>A titre liminaire, le Tribunal se doit généralement d'examiner les griefs de nature formelle avancés par le recourant. Or, celui-ci a invoqué une violation de son droit d'être entendu.</w:t>
      </w:r>
    </w:p>
    <w:p>
      <w:r>
        <w:rPr>
          <w:b/>
        </w:rPr>
        <w:t>E. 2.1</w:t>
      </w:r>
    </w:p>
    <w:p>
      <w:r>
        <w:t>Le droit d'être entendu (art. 30 al. 1 PA) implique notamment que l'autorité ne base pas sa décision sur des faits au sujet desquels les requérants n'ont pas auparavant pu se prononcer. Le droit de consulter le dossier s'étend non seulement à la réponse écrite de la représentation suisse à l'étranger, mais encore au questionnaire que lui a adressé l'ODM (cf. Jurisprudence et informations de la Commission suisse de recours en matière d'asile [JICRA] 1994 n° 1 consid. 3b p. 9ss).</w:t>
      </w:r>
    </w:p>
    <w:p>
      <w:r>
        <w:rPr>
          <w:b/>
        </w:rPr>
        <w:t>E. 2.2</w:t>
      </w:r>
    </w:p>
    <w:p>
      <w:r>
        <w:t>En l'espèce, cette exigence n'a manifestement pas été satisfaite par l'ODM. Dans son courrier du 7 juillet 2008 en effet, l'autorité de première instance s'est contentée de donner connaissance à l'intéressé d'un résumé des renseignements obtenus par le truchement de l'Ambassade de Suisse à Addis-Abeba. Il a cependant omis de lui communiquer la teneur des questions qu'elle lui avait soumise ainsi que certains renseignements sur lesquels elle a pourtant basé sa décision. Il a, de plus, fait une interprétation erronée des-dits résultats.</w:t>
      </w:r>
    </w:p>
    <w:p>
      <w:r>
        <w:rPr>
          <w:b/>
        </w:rPr>
        <w:t>E. 2.3</w:t>
      </w:r>
    </w:p>
    <w:p>
      <w:r>
        <w:t>Le droit d'être entendu étant de nature formelle, sa violation entraîne en principe l'annulation de la décision attaquée, sans qu'il soit nécessaire de savoir si celle-ci a eu une influence sur le résultat de la décision. Toutefois, en présence d'une telle violation, l'autorité de recours peut renoncer au renvoi de la cause à l'instance inférieure lorsque celle-ci est de moindre importance et que l'intéressé a été mis effectivement en situation de s'expliquer sur les faits dont il s'agit devant une autorité de recours jouissant d'une pleine cognition et revoyant librement toutes les questions qui auraient pu être soumises à l'autorité inférieure si celle-ci avait normalement entendu la partie (cf. ATAF 2007/30 consid. 8.2 p. 371 ss ; JICRA 2004 n° 38 consid. 7.1 p. 265 et JICRA 1994 n° 1 consid. 6 p. 15ss). Ces conditions sont remplies en l'espèce. Le Tribunal a, à titre exceptionnel et au vu de la relative ancienneté de la cause, suppléé de sa propre autorité à la carence de l'ODM en donnant connaissance au recourant, par courrier du 6 juillet 2010, tant des questions posées par cet office à la représentation suisse à Addis-Abeba que des réponses données par celle-ci. Ayant en plus été invité à faire part de ses observations, le recourant a, par conséquent, eu effectivement la possibilité de se déterminer à ce propos dans ses courriers des 14 et 21 juillet 2010.</w:t>
      </w:r>
    </w:p>
    <w:p>
      <w:r>
        <w:rPr>
          <w:b/>
        </w:rPr>
        <w:t>E. 2.4</w:t>
      </w:r>
    </w:p>
    <w:p>
      <w:r>
        <w:t>Partant, il y a lieu d'admettre qu'en l'espèce, ce vice de procédure a été guéri dans le cadre de la procédure de recours.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1994 n° 1 consid. 6a p. 9, JICRA 1993 n°21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4.1</w:t>
      </w:r>
    </w:p>
    <w:p>
      <w:r>
        <w:t>En l'occurrence, le recourant, qui s'est déclaré ressortissant éthiopien lors de sa première procédure d'asile, puis érythréen depuis sa demande de reconsidération, a allégué être recherché par les autorités éthiopiennes afin d'être expulsé vers l'Erythrée, comme l'auraient été son père et sa soeur au début des années 2000.</w:t>
      </w:r>
    </w:p>
    <w:p>
      <w:r>
        <w:rPr>
          <w:b/>
        </w:rPr>
        <w:t>E. 4.1.1</w:t>
      </w:r>
    </w:p>
    <w:p>
      <w:r>
        <w:t>En l'espèce, il y a, tout d'abord lieu, de relever que l'intéressé a indiqué avoir toujours vécu à Addis-Abeba. Dans le cadre de sa première procédure d'asile, il a déclaré être un ressortissant éthiopien appartenant à la communauté amahrique (cf. pv. de l'audition sommaire p. 1) et a toujours été auditionné en langue amahrique. Sur sa fiche de données personnelles remplies à son arrivée au CEP, il a mentionné appartenir à l'ethnie tigrée et amahrique. Il a, en outre, affirmé tantôt être détenteur d'un permis de séjour en Ethiopie et ne posséder aucun document d'identité (cf. pv. de l'audition sommaire p. 3), tantôt avoir obtenu un passeport éthiopien (cf. pv. de l'audition cantonale p. 13), ce qui laissait déjà douter de ses véritables documents d'identité au moins. Dans le cadre de sa deuxième demande d'asile, il a déclaré vouloir être considéré comme un ressortissant érythréen et a produit une carte d'identité érythréenne, qu'il aurait obtenue à Addis-Abeba. Force est, donc, de constater que l'intéressé a tenu des propos peu précis et divergents sur ses données personnelles ainsi que sur ses documents d'identité, l'ensemble des motifs d'asile allégués dans le cadre de sa première demande d'asile ayant d'ailleurs été jugés invraisemblable par décision du 10 mai 2004, entrée en force le 23 juillet 2004. Le fait qu'il ressorte des résultats de l'enquête effectuée par l'intermédiaire de l'ambassade de Suisse à Addis-Abeba que les membres de la famille du recourant sont enregistrés comme membres de la communauté tigrée n'est pas d'une grande utilité puisqu'il est plausible que l'intéressé soit tigré du côté paternel, cette ethnie étant représentée tant au nord de l'Ethiopie qu'en Erythrée. S'agissant de la carte d'identité érythréenne produite par l'intéressé, le Tribunal retient que, bien que son authenticité n'ait pas été remise en cause par l'ODM, il s'agit d'un document d'une qualité médiocre rendant toute falsification aisée. De plus, l'intéressé n'a jamais expliqué les raisons pour lesquelles il n'aurait déposé ce document que dans le cadre de sa seconde procédure d'asile, soit trois ans après son entrée en Suisse, ni comment il l'aurait obtenu. Il n'est, en effet, pas possible que l'intéressé ait pu se voir délivrer une carte d'identité érythréenne à Addis-Abeba, alors qu'il se trouvait déjà en Suisse, comme il l'a indiqué, dans la mesure où il n'existe plus aucune représentation érythréenne étrangère dans ce pays depuis 1998 (cf. US Department of State, Background Note : Ethiopia, 8 avril 2010). En outre, afin d'obtenir une carte d'identité érythréenne, le demander doit, en principe, se rendre personnellement auprès de la représentation pour signer un formulaire et apporter la preuve de sa nationalité au moyen de la carte d'identité érythréenne de ses parents et d'un certificat de naissance ou par le témoignage de trois personnes âgées de plus de 40 ans (cf. Consulate of State of Eritrea to Australia and New Zealand, Eritrean ID ; Embassy of State of Eritrea In Washington, DC, Eritrean national ID Card ; UNHCR/Refworld, Immigration and Refugee Booard of Canada, Erythrée, information sur la procédure que doit suivre une personne à l'étranger pour acquérir la citoyenneté érythréenne, 3 septembre 2009). Il faut donc constater que si le recourant avait effectivement eu la nationalité érythréenne lors de son départ allégué de l'Ethiopie pour la Suisse, il aurait dû déposer sa carte d'identité lors de sa première procédure d'asile, ce qu'il n'a pas fait. Et, comme exposé ci-dessus, il n'est pas plausible qu'il ait pu obtenir de manière légale une carte d'identité érythréenne authentique à partir de 2006, soit au cours de son séjour en Suisse. Bien que son origine ethnique mixte, tigrée du côté paternel et amahrique du côté maternelle, soit crédible, rien dans le dossier ne permet d'établir qu'il possède effectivement la nationalité érythréenne. D'ailleurs, si tel avait été le cas, la mention de son origine érythréenne serait apparue dans les registres du Kebele. L'argument selon lequel ces registres ne seraient pas à jour n'est pas valable dans la mesure où il ne peut être admis que ceux-ci n'aient plus été rectifiés depuis le début des années 2000, date avancée de la prétendue déportation des membres de sa famille. Quant à la production des cartes d'identité érythréennes de son père et de sa soeur, elles n'ont aucune valeur probante puisqu'il ne s'agit que de copies. Partant, le Tribunal considère que les propos du recourant relatifs à sa nationalité érythréenne ne sont pas vraisemblables. Pour le surplus, on relèvera que l'intéressé a fait tardivement valoir cette allégation suite à la publication de la jurisprudence JICRA 2006 n°3, tentant apparemment de prolonger son séjour en Suisse.</w:t>
      </w:r>
    </w:p>
    <w:p>
      <w:r>
        <w:rPr>
          <w:b/>
        </w:rPr>
        <w:t>E. 4.1.2</w:t>
      </w:r>
    </w:p>
    <w:p>
      <w:r>
        <w:t>Par conséquent, il faut considérer que le recourant, même à supposer qu'il ait des origines érythréennes du côté paternel, que ce soit par son père voire par ses grands-parents, possède la nationalité éthiopienne. D'ailleurs, la nouvelle version de la loi sur la nationalité de 1930, entrée en vigueur au mois de décembre 2003, reconnaît la nationalité éthiopienne à toutes les personnes qui ont, au moins, un parent d'origine éthiopienne, même s'il s'agit de la mère, ce qui est le cas du recourant (cf. IRIN, Ethiopia : Foreigners to be registered, 8 octobre 2010). Le fait que son épouse et sa fille aient également la nationalité éthiopienne est un élément supplémentaire pour conclure qu'il pourra revendiquer la nationalité éthiopienne à son retour si d'aventure il l'avait perdue depuis son départ, l'obstacle tiré de sa participation alléguée au référendum de 1993 n'étant qu'une simple affirmation nullement étayée, et pas davantage vraisemblable que la nationalité érythréenne invoquée. Les résultats de l'enquête diligentée par l'ambassade de Suisse à Addis-Abeba démontrent, de plus, que les membres de la famille du recourant sont enregistrés comme appartenant à l'ethnie tigrée et qu'aucune origine érythréenne n'est plus mentionnée. Une éventuelle double nationalité résultant d'anciennes origines érythréennes paternelles ne saurait pas non plus être admise, ni constituer un obstacle à la revendication de sa nationalité éthiopienne, dès lors que, depuis 1996, il n'est plus possible d'être double national en Ethiopie, les gouvernements de ces deux pays ayant conclu un accord selon lequel les double-nationaux devaient impérativement choisir l'une ou l'autre nationalité (cf. Human Rights Watch, The Horn of Africa War : Mass expulsions and the nationality issue, January 2003), choix que l'intéressé a dû effectuer à cette époque-là.</w:t>
      </w:r>
    </w:p>
    <w:p>
      <w:r>
        <w:rPr>
          <w:b/>
        </w:rPr>
        <w:t>E. 4.1.3</w:t>
      </w:r>
    </w:p>
    <w:p>
      <w:r>
        <w:t>En outre, le Tribunal rappelle que des vagues de déportation de ressortissants érythréens ont effectivement eu lieu durant la guerre entre l'Ethiopie et l'Erythrée (1998-2000). Après la conclusion de l'accord de paix signé au mois de décembre 2000, ces déportations ont néanmoins fortement diminué et plus aucune expulsion vers l'Erythrée n'est intervenue depuis 2001, les seuls rapatriements s'effectuant sur une base volontaire (cf. ICRC, Ethiopia: together again, 12 septembre 2008). Le Tribunal observe dès lors que la situation des ressortissants éthiopiens avec des origines érythréennes s'est considérablement améliorée depuis ces années-là. De plus, ces personnes ont obtenu davantage de droits que tous les autres étrangers en matière de formation et d'accès au marché du travail et aux soins, depuis l'entrée en vigueur d'une directive en 2004 (cf. Refugees International, Refugee Voices: No Longer Statless, but Still in Limbo, 07.07.2008). Le Tribunal considère donc que le recourant, même à supposer qu'il ait des origines érythréennes, a la nationalité éthiopienne et qu'il n'encourt pas de risque d'être expulsé d'Ethiopie en Erythrée. Quant à l'allégation selon laquelle le père et la soeur du recourant auraient été déportés en Erythrée, le Tribunal constate qu'elle constitue une simple affirmation de sa part, nullement établie. De plus, elle est contredite par les résultats de la demande d'ambassade, lesquels attestent de leur enregistrement à l'adresse mentionnée par l'intéressé. Or, s'ils avaient effectivement été déportés au début des années 2000, ils ne figureraient plus dans les registres du Kebele.</w:t>
      </w:r>
    </w:p>
    <w:p>
      <w:r>
        <w:rPr>
          <w:b/>
        </w:rPr>
        <w:t>E. 4.1.4</w:t>
      </w:r>
    </w:p>
    <w:p>
      <w:r>
        <w:t>Au vu de ce qui précède, la crainte alléguée par le recourant d'être recherché par les autorités éthiopiennes en raison de ses origines érythréennes est donc dépourvue de tout fondement. Une crainte fondée de persécution pour ce seul motif ne saurait, dès lors, être admise.</w:t>
      </w:r>
    </w:p>
    <w:p>
      <w:r>
        <w:rPr>
          <w:b/>
        </w:rPr>
        <w:t>E. 4.2</w:t>
      </w:r>
    </w:p>
    <w:p>
      <w:r>
        <w:t>Par voie de conséquence, ses craintes d'être considéré comme un déserteur en Erythrée ne sont pas déterminantes dès lors qu'il n'a pas rendu vraisemblable être de nationalité érythréenne et que, même si tel était le cas, il n'avait jamais été en contact avec les autorités érythréennes dans le but d'accomplir des obligations militaires (cf. dans ce sens JICRA 2006 n° 3 consid. 4.8 p. 36 ss et consid. 4.10 p. 39 s.). L'allégation selon laquelle le fait d'avoir déposé une demande d'asile à l'étranger serait considéré par les autorités érythréennes comme un comportement hostile à l'État et l'exposerait à des persécutions en cas de renvoi en Érythrée ne peut pas non plus être retenue, tout risque d'expulsion en Erythrée étant exclu (cf. consid. 4.1. ci-dessus).</w:t>
      </w:r>
    </w:p>
    <w:p>
      <w:r>
        <w:rPr>
          <w:b/>
        </w:rPr>
        <w:t>E. 4.3</w:t>
      </w:r>
    </w:p>
    <w:p>
      <w:r>
        <w:t>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au vu de ce qui précède (cf. consid. 4 ci-dessus), force est de constater que le recourant n'a pas démontré qu'il existait pour lui un véritable risque concret et sérieux, au-delà de tout doute raisonnable, d'être victime de tortures, ou de traitements inhumains ou dégradants en cas de renvoi en Ethiopie.</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8.2</w:t>
      </w:r>
    </w:p>
    <w:p>
      <w:r>
        <w:t>De jurisprudence constante, l'exécution du renvoi vers l'Ethiopie est en principe considérée comme raisonnablement exigible (cf. Arrêts du Tribunal administratif fédéral en les causes E-113/2008 et D-4609/2008, JICRA 1998 no 22). Depuis la signature d'un accord de paix entre l'Ethiopie et l'Erythrée le 12 décembre 2000, les soldats de l'ONU contrôlent la frontière entre ces deux pays. Bien que l'instauration d'une paix durable entre l'Éthiopie et l'Érythrée et dans la région passe nécessairement par la démarcation complète de la frontière entre les deux parties, la frontière n'a pas encore été délimitée de façon définitive, de sorte qu'à ce jour la décision sur la délimitation du 13 avril 2002 de la Commission du tracé de la frontière entre l'Érythrée et l'Éthiopie reste la seule description juridique valide de la frontière. Malgré le retrait des troupes de maintien de la paix de l'Erythrée au mois de mars 2008 et de l'Ethiopie au mois d'août 2008, il n'existe pas à l'heure actuelle de conflit ouvert dans la zone frontalière de ces deux pays. Ainsi, même si des tensions persistent entre ces deux pays, il n'existe pas actuellement en Ethiopie de situation de guerre, de guerre civile ou de violences généralisées sur l'ensemble de son territoire qui permettrait d'emblée - et indépendamment des circonstances du cas d'espèce - de présumer, à propos de tous les ressortissants de ce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le Tribunal relève que le recourant n'a pas allégué de problème de santé particulier. Il est au bénéfice d'une formation d'électricien sur automobile, profession qu'il a exercée à Addis-Abeba durant dix ans (cf. pv. de l'audition sommaire p. 2). Il pourra, de plus, faire valoir son expérience professionnelle d'environ un an acquise en Suisse. Au demeurant, il dispose d'un réseau familial (sa mère, ses frères et soeurs et son épouse) et social dans son pays, sur lequel il pourra compter à son retour.</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La demande d'assistance judiciaire partielle ayant été admise par décision incidente du 16 octobre 2008 (art. 65 al. 1 PA),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