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E-6370/2019 vom 10. Dezember 2019</w:t>
      </w:r>
    </w:p>
    <w:p>
      <w:r>
        <w:t>Bundesverwaltungsgericht, 2019-12-10, DE</w:t>
      </w:r>
    </w:p>
    <w:p>
      <w:r>
        <w:rPr>
          <w:b/>
        </w:rPr>
        <w:t xml:space="preserve">Quelle: </w:t>
      </w:r>
      <w:r>
        <w:t>https://mcp.opencaselaw.ch/entscheid/bvger_E-6370_2019</w:t>
      </w:r>
    </w:p>
    <w:p>
      <w:r>
        <w:t>FR: TAF E-6370/2019 du 10 décembre 2019</w:t>
      </w:r>
    </w:p>
    <w:p>
      <w:r>
        <w:t>IT: TAF E-6370/2019 del 10 dicembre 2019</w:t>
      </w:r>
    </w:p>
    <w:p>
      <w:pPr>
        <w:pStyle w:val="Heading2"/>
      </w:pPr>
      <w:r>
        <w:t>Regeste</w:t>
      </w:r>
    </w:p>
    <w:p>
      <w:r>
        <w:t>Flughafenverfahren (Asyl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3 AsylG und Art. 52 Abs. 1 VwVG).</w:t>
      </w:r>
    </w:p>
    <w:p>
      <w:r>
        <w:rPr>
          <w:b/>
        </w:rPr>
        <w:t>E. 2</w:t>
      </w:r>
    </w:p>
    <w:p>
      <w:r>
        <w:t>Mit Beschwerde kann die Verletzung von Bundesrecht sowie die unrichtige oder unvollständige Feststellung des rechtserheblichen Sachverhalts gerügt werden (Art. 106 Abs. 1 AsylG). Im Ausländerrecht richtet sich die Kognition nach Art. 49 VwVG (vgl. BVGE 2014/26 E. 5).</w:t>
      </w:r>
    </w:p>
    <w:p>
      <w:r>
        <w:rPr>
          <w:b/>
        </w:rPr>
        <w:t>E. 3</w:t>
      </w:r>
    </w:p>
    <w:p>
      <w:r>
        <w:t>Mit dem vorliegenden Urteil ist der Antrag auf Anordnung von vorsorglichen Massnahmen (Einreisebewilligung) gegenstandslos geworden.</w:t>
      </w:r>
    </w:p>
    <w:p>
      <w:r>
        <w:rPr>
          <w:b/>
        </w:rPr>
        <w:t>E. 4.1</w:t>
      </w:r>
    </w:p>
    <w:p>
      <w:r>
        <w:t>In der Beschwerde werden formelle Rügen erhoben, welche vorab zu beurteilen sind, da sie allenfalls geeignet wären, eine Kassation der vor-instanzlichen Verfügung zu bewirken. Der Beschwerdeführer rügt eine Verletzung der Pflicht zur vollständigen und richtigen Abklärung des rechtserheblichen Sachverhalts respektive des Untersuchungsgrundsatzes sowie der Begründungspflicht.</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unter anderem an der Feststellung des Sachverhaltes mitzuwirken und in der Anhörung die Asylgründe darzulegen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moniert eine Verletzung der Begründungs-pflicht. Die Vorinstanz habe seine politischen Aktivitäten bei der Glaubhaftigkeit nach Art. 7 AsylG statt im Rahmen von Art. 3 AsylG geprüft. Diese Rüge bezieht sich auf die Würdigung des Sachverhalts. Es handelt sich somit um eine Frage der materiellen Beurteilung und stellt keine Verletzung der Begründungspflicht dar.</w:t>
      </w:r>
    </w:p>
    <w:p>
      <w:r>
        <w:rPr>
          <w:b/>
        </w:rPr>
        <w:t>E. 4.4</w:t>
      </w:r>
    </w:p>
    <w:p>
      <w:r>
        <w:t>Der Beschwerdeführer rügt weiter, die Vorinstanz habe den Sachverhalt nicht umfassend und sorgfältig geprüft, indem sie sich nicht mit den eingereichten Beweismitteln auseinandergesetzt habe. Sie habe sich nicht bemüht, die verschiedenen Facebookeinträge im Netz ausfindig zu machen, um so seine Aussagen verifizieren zu können. Insbesondere aufgrund der auf Chinesisch eingereichten Beweismittel wären weitere Abklärungen nötig gewesen. Ferner halte die Vorinstanz fest, die Überwachung der chinesischen Behörden sei nicht belegt worden. Dem Beschwerdeführer hätte es im Rahmen der Mitwirkungspflicht oblegen, die Facebookeinträge selber zu übersetzen. Die Vorinstanz stellte die Facebookeinträge nicht grundsätzlich in Frage. Sie hielt indes die geltend gemachte Verfolgung durch die chinesischen Behörden aufgrund der Einträge für unglaubhaft. Es ist daher nicht zu beanstanden, dass sie die Face-bookeinträge nicht übersetzen liess. Ob es sich beim Beschwerdeführer um eine Person handelt, welche mit ihren politischen Aktivitäten aus den Massen hervortritt, ist eine Frage der Beweiswürdigung.</w:t>
      </w:r>
    </w:p>
    <w:p>
      <w:r>
        <w:rPr>
          <w:b/>
        </w:rPr>
        <w:t>E. 4.5</w:t>
      </w:r>
    </w:p>
    <w:p>
      <w:r>
        <w:t>Der Beschwerdeführer macht ferner geltend, die Vorinstanz habe sich bei der Rechtsmittelbelehrung fälschlicherweise auf Art. 108 Abs. 1 AsylG statt auf Art. 108 Abs. 3 AsylG gestützt. Die Vorinstanz hat zwar in der Rechtsmittelbelehrung die falsche Gesetzesbestimmung zitiert, aber die richtige Frist von fünf Tagen angesetzt. Die Beschwerde wurde fristgerecht eingereicht, weshalb dem Beschwerdeführer hieraus kein Nachteil entstanden ist.</w:t>
      </w:r>
    </w:p>
    <w:p>
      <w:r>
        <w:rPr>
          <w:b/>
        </w:rPr>
        <w:t>E. 4.6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sie schliesse nicht aus, dass der Beschwerdeführer gelegentlich regimekritische Einträge auf Facebook hochgeladen und in Thailand an verschiedenen Protestaktionen teilgenommen habe. Fraglich sei jedoch, in welchem Ausmass diese Veranstaltungen tatsächlich öffentlich durchgeführt und die Einträge veröffentlicht worden seien. Zudem könne seinen Aussagen nicht entnommen werden, dass er eine führende Rolle innegehabt habe. Die Vorinstanz gehe nicht davon aus, dass ihm dadurch Nachteile entstanden seien. Die Beschädigung seines Computers in Thailand durch die chinesischen Behörden sei lediglich eine Vermutung und entspreche nicht der Realität. Ihm sei es nicht gelungen, dies durch weitere Beweismittel zu belegen. Seine Angaben zum Besuch der chinesischen Behörden bei seinen Angehörigen in B._______ überzeugten nicht.</w:t>
      </w:r>
    </w:p>
    <w:p>
      <w:r>
        <w:rPr>
          <w:b/>
        </w:rPr>
        <w:t>E. 6.2</w:t>
      </w:r>
    </w:p>
    <w:p>
      <w:r>
        <w:t>Der Beschwerdeführer bringt vor, seine auf Facebook veröffentlichten kritischen Beiträge seien nach wie vor einsehbar und es sei einfach, ihn zu identifizieren. Die Argumentation der Vorinstanz, wonach er keinen Zeitraum angegeben habe oder nicht klar sei, ob die Fotos überhaupt veröffentlicht worden seien, sei daher untauglich. Aus den eingereichten Fotos gehe klar hervor, dass er an öffentlichen Veranstaltungen teilgenommen habe. Seit dem 1. Juli 2015 werde in China die Verbreitung von politischen Informationen über das Internet nicht mehr mit einer Verwaltungsstrafe geahndet, sondern als strafrechtliches Delikt angesehen. Hinsichtlich der Beschädigung seines Computers könne ein unlogisches oder inkohärentes Verhalten des Verfolgers dem Beschwerdeführer nicht negativ angelastet werden. Er sei anlässlich des Besuchs der chinesischen Behörden bei seiner Exfrau nicht anwesend gewesen, weshalb es für ihn schwierig sei, genauere Angaben zu machen. Durch seine Veröffentlichungen in den sozialen Medien und Teilnahme an Veranstaltungen der Menschenrechtsorganisation mit regimekritischen Bannern in Thailand erfülle er überdies subjektive Nachfluchtgründe. Er gehöre zudem der christlichen Glaubensgemeinschaft an, welche in China teilweise massiver Verfolgung ausgesetzt sei.</w:t>
      </w:r>
    </w:p>
    <w:p>
      <w:r>
        <w:rPr>
          <w:b/>
        </w:rPr>
        <w:t>E. 7.1</w:t>
      </w:r>
    </w:p>
    <w:p>
      <w:r>
        <w:t>Der Beschwerdeführer macht geltend, er habe am 10. Oktober 2016 in China einen Facebookeintrag einer von ihm entworfenen chinesischen Nationalflagge gepostet. Dies hat er mittels eines Auszugs des Facebookeintrags mit einem Foto des Nationalflaggenentwurfs glaubhaft gemacht. Allerdings fehlt es diesbezüglich an der Asylrelevanz. Bis zu seiner Ausreise aus China am 12. November 2016 konnte er sich unbehelligt in China aufhalten, er erhielt ein Visum für Thailand und konnte ohne Schwierigkeiten legal ausreisen. Seitens der chinesischen Behörden bestand somit kein asylrelevantes Verfolgungsinteresse.</w:t>
      </w:r>
    </w:p>
    <w:p>
      <w:r>
        <w:rPr>
          <w:b/>
        </w:rPr>
        <w:t>E. 7.2</w:t>
      </w:r>
    </w:p>
    <w:p>
      <w:r>
        <w:t>Der Beschwerdeführer macht weiter geltend, er habe nach seiner Ausreise aus China in den Jahren 2017 bis 2019 in Thailand diverse Facebookeinträge veröffentlicht sowie an Veranstaltungen teilgenommen, welche von der chinesischen Menschenrechtsgruppe organisiert worden seien. Zudem erklärte er, er sei in China Mitglied einer Hauskirche gewesen und in Thailand getauft worden. Dies führe zusätzlich zu einer Verschärfung seines Gefährdungsprofils.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aber als Flüchtlinge vorläufig aufgenommen (Art. 54 AsylG; BVGE 2009/28 E. 7.1 sowie Entscheidungen und Mitteilungen der Schweizerischen Asylrekurskommission [EMARK] 2000 Nr. 16 E. 5a m.w.H.). Der Beschwerdeführer reichte diverse Auszüge seiner Facebookeinträge ein. Sowohl hinsichtlich der Veröffentlichung seiner Facebookeinträge als auch seiner Teilnahme an den Veranstaltungen ist mit der Vorinstanz von der Glaubhaftigkeit auszugehen. Seine Vorbringen, nach der Veröffentlichung der Einträge sei sein Computer bei ihm zu Hause in Thailand von den chinesischen Behörden beschädigt worden, überzeugen indes nicht. Wie die Vorinstanz korrekt feststellt, beruhen seine diesbezüglichen Angaben lediglich auf einer Vermutung, welche er nicht belegen kann. Anlässlich der Anhörung erklärte er zudem, seine Exfrau sei am 28. November 2018, vier Tage nach seiner Veröffentlichung der Karikaturen des chinesischen Staatspräsidenten, von den chinesischen Behörden aufgesucht worden. Es ist nicht nachvollziehbar, dass der Beschwerdeführer dieses einschneidende Ereignis anlässlich der Befragung unerwähnt liess, zumal ihm Konsequenzen angedroht worden seien. Somit ist nicht glaubhaft, dass seine Exfrau durch die chinesischen Behörden behelligt worden ist. Insgesamt ist von einem derart unterschwelligen exilpolitischen Engagement auszugehen, dass nicht anzunehmen ist, die chinesischen Behörden hätten von seinen Facebookveröffentlichungen Kenntnis erhalten. Im Weiteren kann der Beschwerdeführer seine Konversion zur christlichen Glaubensgemeinschaft nicht belegen. Selbst wenn ihm dies gelingen würde, gab er nicht an, dass die chinesischen Behörden davon Kenntnis erhalten hätten. Das Christentum zählt in China zu den fünf staatlich anerkannten Religionen. Der Beschwerdeführer macht nicht geltend, dass er Mitglied einer unter Art. 300 des chinesischen Strafgesetzbuches verbotenen Glaubensgemeinschaft sei, welche unter Strafe stehe (&lt; https://freedomhouse.org/report/freedom-world/2016/china &gt; abgerufen am 06.12.2019). Es besteht sodann kein Grund zur Annahme, dass er bei einer Rückkehr in sein Heimatland mit asylrelevanten Verfolgungshandlungen zu rechnen hat. Hinzu kommt, dass er gemäss seinen eigenen Aussagen erklärte, seine Religionszugehörigkeit sei nicht der Grund für sein Asylgesuch. Dass der Beschwerdeführer keinen Verfolgungsmassnahmen ausgesetzt gewesen ist, zeigt sich auch dadurch, dass er beabsichtigte, am 7. November 2019 mit einem bereits gekauften Flugticket nach China zu reisen, und den Flug lediglich deshalb nicht antrat, weil er durch die Behörden in Österreich daran gehindert wurde.</w:t>
      </w:r>
    </w:p>
    <w:p>
      <w:r>
        <w:rPr>
          <w:b/>
        </w:rPr>
        <w:t>E. 7.3</w:t>
      </w:r>
    </w:p>
    <w:p>
      <w:r>
        <w:t>Zusammenfassend ergibt sich, dass der Beschwerdeführer weder asylrelevante Vorfluchtgründe noch subjektive Nachfluchtgründe glaubhaft machen konnte. Die Vorinstanz hat das Asylgesuch folglich zu Recht abgelehnt.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China dort mit beachtlicher Wahrscheinlichkeit einer nach Art. 3 EMRK oder Art. 1 FoK verbotenen Strafe oder Behandlung ausgesetzt wäre. Auch die allgemeine Menschenrechtssituation in China lässt den Wegweisungsvollzug zum heutigen Zeitpunkt nicht als unzulässig erscheinen. Der Vollzug der Weg-weisung ist zulässig (Urteil des BVGer D-2779/2018 vom 14. November 2019 E. 9.3).</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In China herrscht weder Bürgerkrieg noch eine Lage allgemeiner Gewalt (Urteil des BVGer D-2779/2018 vom 14. November 2019 E. 9.4.2). Der Beschwerdeführer ist gesund, hat die höhere Mittelschule abgeschlossen, ein CAD-Software Selbststudium absolviert und als Wächter gearbeitet. Hinzu kommt, dass er über ein tragfähiges soziales Beziehungsnetz (Eltern, Sohn und Exfrau) in China verfügt, das ihn bei der Wiedereingliederung unterstützen könnte. Vor diesem Hintergrund ist nicht davon auszugehen, dass er bei einer Rückkehr in eine existentielle Notlage geraten wird.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(BVGE 2010/41 E. 8.3.6). Der Vollzug der Wegweisung ist auch in individueller Hinsicht zumutbar.</w:t>
      </w:r>
    </w:p>
    <w:p>
      <w:r>
        <w:rPr>
          <w:b/>
        </w:rPr>
        <w:t>E. 8.4</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8.5</w:t>
      </w:r>
    </w:p>
    <w:p>
      <w:r>
        <w:t>Die Vorinstanz hat somit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seine Bedürftigkeit aufgrund der Akten ausgewiesen ist, ist das Gesuch um Gewährung der unentgeltlichen Prozessführung gemäss Art. 65 Abs. 1 VwVG gutzuheissen.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