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E-6370/2016 vom 8. November 2016</w:t>
      </w:r>
    </w:p>
    <w:p>
      <w:r>
        <w:t>Bundesverwaltungsgericht, 2016-11-08, DE</w:t>
      </w:r>
    </w:p>
    <w:p>
      <w:r>
        <w:rPr>
          <w:b/>
        </w:rPr>
        <w:t xml:space="preserve">Quelle: </w:t>
      </w:r>
      <w:r>
        <w:t>https://mcp.opencaselaw.ch/entscheid/bvger_E-6370_2016</w:t>
      </w:r>
    </w:p>
    <w:p>
      <w:r>
        <w:t>FR: TAF E-6370/2016 du 8 novembre 2016</w:t>
      </w:r>
    </w:p>
    <w:p>
      <w:r>
        <w:t>IT: TAF E-6370/2016 del 8 novembre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zum Zweck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4</w:t>
      </w:r>
    </w:p>
    <w:p>
      <w:r>
        <w:t>Wie die Vorinstanz zutreffend unter Hinweis auf die ständige Praxis festgehalten hat, bezweckt das Rechtsinstitut des Familienasyls die Bewahrung von vorbestandenen Familiengemeinschaften beziehungsweise deren Wiederherstellung, sofern die Gemeinschaft alleine aufgrund der Fluchtumstände und somit unfreiwillig getrennt wurde (BVGE 2012/32 E. 5.4.2, Urteil des BVGer D-6842/2011 vom 22. Mai 2012 E. 4.2, EMARK 2006 Nr. 8 E. 3.2 S. 94 f., 2000 Nr. 11 E. 3b S. 89). Als "Conditio sine qua non" der Konzeption des Familienasyls gilt die Voraussetzung, dass zum Zeitpunkt der Flucht eine Familiengemeinschaft bestanden haben muss (Urteile des BVGer E-7075/2014 vom 31. August 2015 E. 4.3.2, D-6842/2011 vom 22. Mai 2012 E. 4.1). Die Voraussetzung fehlt dann, wenn die Gemeinschaft zwar schon vor der Trennung bestand, sie aber tatsächlich nicht (mehr) gelebt wurde (Urteil des BVGer E-7075/2014 vom 31. August 2015 E. 4.3.2). Die Einreisebewilligung zwecks Familienasyl nach Art. 51 Abs. 1 und 4 AsylG dient mithin weder der Aufnahme von neuen respektive von zuvor noch gar nicht gelebten familiären Beziehungen noch der Wiederaufnahme von zuvor beendeten Beziehungen (vgl. BVGE 2012/32 E. 5.4, insbes. 5.4.2, Urteil des BVGer E-5071/2015 vom 26. Oktober 2015 E. 4.2). Der Beschwerdeführer führt selbst aus, dass er von Oktober 2010 bis Februar 2015 keinen Kontakt mehr zu seiner Frau und deren Kind hatte (z. B. SEM-Akten, B9, S. 2 f., Beschwerde, S. 3 f.). Seine Erklärungsversuche, weshalb der Kontakt abgebrochen ist und weshalb dieser nicht früher wieder aufgenommen werden konnte, gehen ins Leere. Die Vorinstanz kommt zutreffend zum Schluss, es handle sich um eine "zwischenzeitlich abgebrochene Beziehung" (angefochtene Verfügung, S. 2). Dabei verstösst sie - entgegen der entsprechenden Rüge und in Einklang mit der ständigen Praxis - nicht gegen Sinn und Zweck von Art. 51 Abs. 1 und 4 AsylG. So gab der Beschwerdeführer in seinem gesamten Asylverfahren weder seine Ehefrau noch deren Kind an. Gemäss Personalienblatt ist er ledig (vom Beschwerdeführer selbst ausgefülltes Personalienblatt, SEM-Akten, A1), hat dies in der Befragung zur Person vom 18. Mai 2011 bestätigt, erwähnte weder seine Ehefrau noch deren Kind und gab diese auch auf explizite Nachfrage hin nicht an (SEM-Akten, A3, S. 1 ff. insb. S. 2). Einleitend zur Anhörung vom 11. Oktober 2011 wurde er auf seine Mitwirkungspflicht und insbesondere darauf hingewiesen, dass er für seine Aussagen die Verantwortung zu tragen habe und unwahre Angaben negative Konsequenzen haben können (SEM-Akten, A15, S. 2). Die Kenntnisnahme hiervon hat er unterschriftlich bestätigt. Dennoch erwähnte er auch in dieser Befragung seine Frau und deren Kind mit keinem Wort. Dieses Verhalten lässt offensichtlich nicht auf eine unfreiwillig getrennte Familiengemeinschaft mit fest beabsichtigter Familienvereinigung schliessen. Hinzu kommt, dass der Beschwerdeführer im September 2010 die gemeinsame Wohnung verliess und seinen Aufenthaltsort innerhalb Sri Lankas wechselte, ohne seine damals angeblich noch mit ihm zusammenlebende Frau hierüber zu informieren ("Da meine Flucht ein relativ spontaner Entscheid war, wusste meine Frau nichts davon", SEM-Akten, B9, S. 2). Sodann war diese mit ihrem Kind von Dezember 2010 bis Januar 2015 in Indien, was der Beschwerdeführer erst im Februar 2015 erfuhr (SEM-Akten, B9, S. 3). Als dieser im Januar 2011 Sri Lanka verliess, wusste er mithin nicht, wo sich seine Frau aufhielt. Dass seine Schwiegermutter darüber enttäuscht war, dass er ihre Tochter "im Stich gelassen hatte", untermauert die Schlussfolgerung einer vor der Flucht in die Schweiz abgebrochenen Beziehung (SEM-Akten, B9, S. 2). Eine Heiratsurkunde aus dem Jahr 2009 - die vorliegend nicht in Frage gestellt wird - ist nicht geeignet, hieran etwas zu ändern. Dasselbe ist im Hinblick auf die Beschwerdeausführungen - das nach Erhalt des Asylrechts zeitnah gestellte Gesuch um Familienzusammenführungsgesuchs zeige, wie wichtig dem Beschwerdeführer die Rettung seiner Familie sei; nach vierjährigem Unterbruch sei der Kontakt beidseitig wieder aufgenommen worden was beweise, dass der Beziehungsabbruch 2010 keineswegs aus freien Stücken geschehen sei - festzustellen (Beschwerde, S. 5 f.). Um Wiederholungen zu vermeiden, ist auf die ausführlichen Ausführungen der Vorinstanz zu verweisen, die zu Recht die Erteilung der Einreisebewilligung verweigert und das Gesuch um Familienasyl abgelehnt hat.</w:t>
      </w:r>
    </w:p>
    <w:p>
      <w:r>
        <w:rPr>
          <w:b/>
        </w:rPr>
        <w:t>E. 5</w:t>
      </w:r>
    </w:p>
    <w:p>
      <w:r>
        <w:t>Folglich ist festzustellen, dass die angefochtene Verfügung Bundesrecht nicht verletzt und auch sonst nicht zu beanstanden ist. Die Beschwerde ist abzuweisen.</w:t>
      </w:r>
    </w:p>
    <w:p>
      <w:r>
        <w:rPr>
          <w:b/>
        </w:rPr>
        <w:t>E. 6</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