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E-6369/2025 vom 14. August 2025</w:t>
      </w:r>
    </w:p>
    <w:p>
      <w:r>
        <w:t>Bundesverwaltungsgericht, 2025-08-14, DE</w:t>
      </w:r>
    </w:p>
    <w:p>
      <w:r>
        <w:rPr>
          <w:b/>
        </w:rPr>
        <w:t xml:space="preserve">Quelle: </w:t>
      </w:r>
      <w:r>
        <w:t>https://mcp.opencaselaw.ch/entscheid/bvger_E-6369_2025_d20250814</w:t>
      </w:r>
    </w:p>
    <w:p>
      <w:r>
        <w:t>FR: TAF E-6369/2025 du 14 août 2025</w:t>
      </w:r>
    </w:p>
    <w:p>
      <w:r>
        <w:t>IT: TAF E-6369/2025 del 14 agosto 2025</w:t>
      </w:r>
    </w:p>
    <w:p>
      <w:pPr>
        <w:pStyle w:val="Heading2"/>
      </w:pPr>
      <w:r>
        <w:t>Regeste</w:t>
      </w:r>
    </w:p>
    <w:p>
      <w:r>
        <w:t>Asyl und Wegweisung (beschleunigtes Verfahren) | Asyl und Wegweisung (beschleunigtes Verfahren); Verfügung des SEM vom 14. August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 unter Vorbehalt von E. 4 – einzutreten (Art. 108 Abs. 1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Nicht einzutreten ist mangels Rechtschutzinteresses auf den prozessualen Antrag um Wiederherstellung der aufschiebenden Wirkung, weil diese der Beschwerde schon von Gesetzes wegen zukommt (Art. 55 Abs. 1 VwVG) und von der Vorinstanz vorliegend nicht entzogen wurde.</w:t>
      </w:r>
    </w:p>
    <w:p>
      <w:r>
        <w:t>E-6369/2025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der sogenannten Schutztheorie (vgl. EMARK 2006 Nr. 18) ist nichtstaatliche Verfolgung durch Drittpersonen flüchtlingsrechtlich nur dann beachtlich, wenn der Staat unfähig oder nicht willens ist, Schutz vor einer solchen Verfolgung zu bieten. Der Staat muss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6.1</w:t>
      </w:r>
    </w:p>
    <w:p>
      <w:r>
        <w:t>Das SEM erachtete die Vorbringen des Beschwerdeführers als asyl- rechtlich nicht relevant. Es führte dazu aus, die von ihm geschilderten Vor- fälle, insbesondere die verbalen Bedrohungen, Belästigungen und der kör- perliche Angriff, würden die vom Asylgesetz vorausgesetzte Intensität nicht erreichen, da sie ein menschenwürdiges Leben im Heimatstaat nicht ver- unmöglichen oder in unzumutbarer Weise erschweren würden. Zudem handle es sich bei den geltend gemachten Nachteilen um eine Verfolgung durch Drittpersonen. Der Beschwerdeführer habe gemäss eigenen Anga- ben nach einer Online-Drohung Anzeige erstattet, jedoch die Einleitung ei- nes Verfahrens nicht aktiv weiterverfolgt. Auch nach dem körperlichen</w:t>
      </w:r>
    </w:p>
    <w:p>
      <w:r>
        <w:t>E-6369/2025 Seite 6 Angriff habe er sich gegen eine Anzeige entschieden. Er habe somit nicht konsequent und vehement um Schutz bei den türkischen Behörden oder anderen nicht-staatlichen Organisationen ersucht. Die Türkei verfüge über funktionierende Polizei- und Justizorgane, die grundsätzlich zur Ermittlung und Ahndung von Übergriffen fähig seien. Die Inanspruchnahme dieses Schutzes wäre dem Beschwerdeführer zumutbar gewesen. Von einem feh- lenden Schutzwillen oder einer Schutzunfähigkeit der heimatlichen Behör- den könne somit nicht ausgegangen werden. Im Weiteren bestünden bei erneuten Übergriffen innerstaatliche Fluchtalternativen innerhalb von E._______ oder anderen Metropolen wie Istanbul, die grundsätzlich ein to- leranteres Umfeld bieten würden. Zum geltend gemachten psychischen Druck sei festzustellen, dass der Be- schwerdeführer bereits im Februar 2025 aus touristischen Gründen in die Schweiz gereist und freiwillig wieder in die Türkei zurückgekehrt sei. Die- ses Verhalten deute darauf hin, dass kein unerträglicher psychischer oder physischer Druck bestanden habe. Zudem sei es dem Beschwerdeführer möglich gewesen, zu studieren und zu arbeiten, was ebenfalls gegen das Vorliegen eines unerträglichen Drucks sprechen würde. Er habe bereits in der Türkei psychologische Unterstützung erhalten und könne jene bei einer Rückkehr wieder in Anspruch nehmen. Die medizinische Versorgung, ins- besondere im Bereich psychischer Gesundheit, sei in urbanen Zentren wie Izmir oder Istanbul grundsätzlich gewährleistet. Der Beschwerdeführer pflege gemäss eigenen Angaben täglichen Kontakt mit seiner Familie; diese habe seine Ausreise finanziell unterstützt und ihn kurz vor seiner Aus- reise bei sich aufgenommen. Zudem habe er ein Freundesnetz erwähnt. Es sei somit von einem sozialen Umfeld auszugehen. Das SEM anerkenne, dass das Leben des Beschwerdeführers von sehr belastenden Ereignissen geprägt gewesen sei und die konservative Hal- tung seiner Familie seine psychische Gesundheit weiter herausfordere. Diese Lebensbedingungen würden jedoch nicht die unter Art. 3 AsylG de- finierten Umstände eines unerträglichen psychischen Druckes bewirken. Als volljährige und selbständige Person könne vom Beschwerdeführer auch erwartet werden, dass er sich nötigenfalls von seiner Familie distan- ziere, wenn diese seine Lebensweise erschwere. In der Stellungnahme seien insgesamt keine Tatsachen oder Beweismittel vorgelegt werden, die eine Änderung des vorinstanzlichen Standpunktes rechtfertigten. Der Wegweisungsvollzug wurde als zulässig, zumutbar und möglich ein- gestuft.</w:t>
      </w:r>
    </w:p>
    <w:p>
      <w:r>
        <w:t>E-6369/2025 Seite 7</w:t>
      </w:r>
    </w:p>
    <w:p>
      <w:r>
        <w:rPr>
          <w:b/>
        </w:rPr>
        <w:t>E. 6.2</w:t>
      </w:r>
    </w:p>
    <w:p>
      <w:r>
        <w:t>In der Beschwerdeschrift entgegnete der Beschwerdeführer, es sei in- akzeptabel, dass die Vorinstanz vom Schutzwillen und der Schutzfähigkeit der türkischen Behörden ausgehe. Seine Aussage, er habe angesichts des erniedrigenden Verhaltens der Polizei mit einer Strafanzeige gezögert, zeige auf, dass die Polizei «psychologischen Druck» ausübe. Die vom SEM genannten (innerstaatlichen) Fluchtalternativen seien nicht gegeben. Abgesehen von wirtschaftlichen Gründen sei zu betonen, dass islamisti- sche Organisationen in jeder Region der Türkei präsent seien und es für ihn keine Fluchtalternative gebe. Die Türkei werde nicht von einem «staat- lichen System» regiert und er werde überall, wo er hingehe, der gleichen Tyrannei begegnen. Er habe mit Belegen untermauert, dass er nach seiner Rückkehr von der Schweiz in der Türkei erpresst und angegriffen worden sei. Die Annahme des SEM, wonach er damals weder psychisch noch phy- sisch unerträglichem Druck ausgesetzt worden sei, sei haltlos. In der Tür- kei habe er zuletzt bereits weit von seiner Familie entfernt gelebt. Aus den eingereichten «whatsapp»-Nachrichten gehe hervor, dass sein Verhältnis zum Vater zunehmend angespannt gewesen sei und er ernsthaft bedroht werde. Man habe ihm angedroht, in die Schweiz zu kommen und Schande über ihn zu bringen. Ihm sei zudem mit einer Enterbung gedroht worden. Das beiliegende Schreiben eines Freundes würde seine Vorbringen bestä- tigen. Eine Rückkehr in die Türkei komme nicht in Frage, weil er mit Dro- hungen seitens seiner Familie konfrontiert werde. Zudem würde er bei ei- ner Rückkehr einen psychischen Zusammenbruch erleiden. Es würden ihm auch die finanziellen Mittel fehlen, um sich im Ausland niederzulassen. Der Beschwerde wurden weitere Beweismittel (die bereits im vorinstanzli- chen Verfahren eingereichten Spitalberichte vom 8. Mai und 15. Juni 2025, die Fotos zur (…)verletzung, ein fremdsprachiger Auszug aus «whatsapp» [gemäss eigenen Angaben: Gespräch über Erpressung], ein Arztbericht vom 2. Juli 2025 [gemäss eigenen Angaben: betreffend die von ihm einge- nommenen Antidepressiva], ein fremdsprachiger Auszug aus «whatsapp» [gemäss eigenen Angaben: Drohnachrichten seiner Familie] und eine Ko- pie eines Schreibens von F._______ vom 21. August 2025) beigelegt.</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Die Beschwerdevorbringen sind insgesamt nicht geeig- net, zu einer anderen Beurteilung zu führen. Zur Vermeidung von Wieder- holungen kann daher mit den nachfolgenden Ergänzungen auf die</w:t>
      </w:r>
    </w:p>
    <w:p>
      <w:r>
        <w:t>E-6369/2025 Seite 8 zutreffenden Ausführungen der Vorinstanz in der angefochtenen Verfügung verwiesen werden (vgl. oben E. 6.1 sowie SEM-Akte […]-[nachfolgend: Akte ]22 Ziff. II). Auch die auf Beschwerdestufe eingereichten Beweismittel vermögen an dieser Einschätzung nichts zu ändern.</w:t>
      </w:r>
    </w:p>
    <w:p>
      <w:r>
        <w:rPr>
          <w:b/>
        </w:rPr>
        <w:t>E. 7.2</w:t>
      </w:r>
    </w:p>
    <w:p>
      <w:r>
        <w:t>Zunächst ist festzuhalten, dass die vom Beschwerdeführer geltend ge- machte Homosexualität für sich genommen im Länderkontext Türkei für die Begründung der Flüchtlingseigenschaft nicht hinreichend ist (vgl. Urteil des BVGer D-364/2025 vom 4. März 2025 E. 6.2 mit weiterem Verweis auf: D-4039/2020 vom 17. November 2020 E. 7.7). Das Bundesverwaltungsge- richt hat sich in den letzten Jahren wiederholt mit der Schutzfähigkeit und dem Schutzwillen der türkischen Behörden betreffend Personen, die der LGBTQI+-Gemeinschaft angehören, auseinandergesetzt. Dabei geht es grundsätzlich davon aus, dass die türkischen Behörden auch hinsichtlich (bi- oder) homosexueller Personen schutzfähig und schutzwillig sind (vgl. Urteil des BVGer D-364/2025, a.a.O., E. 6.2 mit Verweis auf: D-5566/2024 vom 1. November 2024 S. 9). Dem Beschwerdeführer ist es deshalb zuzumuten, sich bei Bedarf schutzsuchend an die heimatlichen Behörden zu wenden. Er vermag mit seiner Angabe, die Polizei habe seine Anzeige nicht weiterverfolgt, diese grundsätzliche Vermutung nicht zu wi- derlegen. Sollte eine Polizeibehörde eine Strafanzeige zu Unrecht nicht an die Hand nehmen, wäre der Beschwerdeführer gehalten, sich mit rechts- staatlichen Mitteln zur Wehr zu setzen und den Rechtsweg zu beschreiten. Hinzu kommt, dass der Beschwerdeführer nach dem körperlichen Überfall durch Betrunkene zwar betreffend seine erlittenen Verletzungen eine Spi- talbestätigung hat ausstellen lassen, aber gleichzeitig im Nachgang dazu gemäss eigenen Angaben auf eine (erneute) Anzeige verzichtet hat, ob- wohl seine Freundin ihn dazu ermuntert haben soll, den Übergriff zur An- zeige zu bringen (vgl. Akte 16, Antwort 51, S. 9).</w:t>
      </w:r>
    </w:p>
    <w:p>
      <w:r>
        <w:rPr>
          <w:b/>
        </w:rPr>
        <w:t>E. 7.3</w:t>
      </w:r>
    </w:p>
    <w:p>
      <w:r>
        <w:t>Ergänzend ist festzuhalten, dass dem Beschwerdeführer, sollte er in- nerhalb der Familie oder im Umfeld seiner Familie in D._______ Behelli- gungen durch Drittpersonen ausgesetzt sein, in der Türkei mehrere Wohn- sitzalternativen offenstehen. So hat er mehrere Jahre in E._______ gelebt und gearbeitet. Zudem steht es ihm offen, sich in der Metropole Istanbul niederzulassen, wo – wie vom SEM zutreffend festgestellt wurde (vgl. Ziffer II, S. 5, dritter Abschnitt) – von einem der LGBTQI+-Gemeinschaft gegen- über toleranteren Umfeld auszugehen ist. In der Beschwerdeschrift wird nicht ansatzweise ausgeführt, weshalb dem Beschwerdeführer ein Leben in der Grossstadt nicht zumutbar sein soll. Es ist dem Beschwerdeführer demnach zuzumuten, in eine andere Region der Türkei zu ziehen, sollte er</w:t>
      </w:r>
    </w:p>
    <w:p>
      <w:r>
        <w:t>E-6369/2025 Seite 9 aufgrund seiner sexuellen Orientierung einem gewissen Druck in seinem sozialen Umfeld oder anderen Unannehmlichkeiten ausgesetzt sein.</w:t>
      </w:r>
    </w:p>
    <w:p>
      <w:r>
        <w:rPr>
          <w:b/>
        </w:rPr>
        <w:t>E. 7.4</w:t>
      </w:r>
    </w:p>
    <w:p>
      <w:r>
        <w:t>Auch die in der Beschwerdeeingabe vorgetragene, aber nicht weiter substanziierte oder belegte Befürchtung, von der Familie enterbt zu wer- den, vermag keine asylbeachtliche Verfolgung darzutun. Zudem muss die- ses Vorbringen inhaltlich als nachgeschoben eingestuft werden, da es im vorinstanzlichen Verfahren nicht vorgetragen wurde. Im Weiteren spricht der Umstand, dass der Beschwerdeführer praktisch täglich mit seiner Fa- milie in Kontakt stehen soll (vgl. Akte 16, Antworten 37 und 74), sowohl gegen die behaupteten Enterbungsabsichten seiner Familie als auch ge- gen die geltend gemachten Drohungen durch seine Angehörigen.</w:t>
      </w:r>
    </w:p>
    <w:p>
      <w:r>
        <w:rPr>
          <w:b/>
        </w:rPr>
        <w:t>E. 7.5</w:t>
      </w:r>
    </w:p>
    <w:p>
      <w:r>
        <w:t>Zusammenfassend gelingt es dem Beschwerdeführer nicht, ernsthafte Nachteile im Sinne des Asylgesetzes nachzuweisen oder glaubhaft zu ma- chen. Hieran vermögen die auf Beschwerdeebene nachgereichten Doku- mente, die grösstenteils bereits im vorinstanzlichen Verfahren eingereicht worden waren, nichts zu ändern. Auch aus dem Schreiben seines Freun- des vom 21. August 2025 vermag der Beschwerdeführer nichts zugunsten seines Asylgesuches abzuleiten. Das Schreiben ist namentlich nicht geeig- net, den oben festgestellten grundsätzlichen Schutzwillen und die Schutz- fähigkeit des türkischen Staates konkret in Frage zu stellen. Die Vorinstanz hat demzufolge zu Recht seine Flüchtlingseigenschaft verneint und sein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E-6369/2025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w:t>
      </w:r>
    </w:p>
    <w:p>
      <w:r>
        <w:t>E-6369/2025 Seite 11 §§ 124–127 m.w.H.). Nach den vorstehenden Ausführungen gelingt ihm das nicht. Auch die allgemeine Menschenrechtssituation in der Türkei lässt den Wegweisungsvollzug zum heutigen Zeitpunkt nicht als unzulässig er- 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(im Einzelnen: Batman, Diyarbakir, Mardin, Siirt, Urfa und Van, betreffend die Provinzen Hakkari und Sirnak vgl. das Referenzurteil E-4103/2024 Urteil vom 8 November 2024 E. 13.4) sowie der Entwicklungen nach dem Putschversuch von Teilen des türkischen Mi- litärs im Juli 2016 ist gemäss konstanter Praxis des Bundesverwaltungs- gerichts in der Türkei nicht von einer Situation allgemeiner Gewalt oder bürgerkriegsähnlichen Verhältnissen auszugehen (vgl. Urteil des BVGer D-364/2025, a.a.O. E. 8.3.2, mit weiterem Verweis auf: Referenzurteil E-1948/2018 vom 12. Juni 2018 E. 7.3.2, Urteile des BVGer D-1920/2023 vom 14. Juni 2023 E. 9.4.1 und E-6224/2019 vom 19. April 2023 E. 8.3.2 m.w.H.). Eine generelle Unzumutbarkeit des Vollzugs der Wegweisung ist demnach nicht anzunehmen.</w:t>
      </w:r>
    </w:p>
    <w:p>
      <w:r>
        <w:rPr>
          <w:b/>
        </w:rPr>
        <w:t>E. 9.3.3</w:t>
      </w:r>
    </w:p>
    <w:p>
      <w:r>
        <w:t>Zudem lassen auch keine individuellen Gründe wirtschaftlicher oder sozialer Natur auf eine konkrete Gefährdung des Beschwerdeführers in seinem Heimatstaat schliessen. Er ist jung, verfügt über einen Gymnasial- abschluss und hat an der Universität studiert, auch wenn er bislang keinen Studienabschluss gemacht hat. Mit seiner in der Türkei ansässigen Familie (Eltern, Schwester sowie mehrere Onkel und Tanten) verfügt er über ein familiäres Beziehungsnetz und es kann nicht davon ausgegangen werden, dass sämtliche Familienmitglieder aufgrund seiner Homosexualität den Kontakt mit ihm vermeiden und ihm jegliche Unterstützung verweigern wür- den. Der Beschwerdeführer hat selbst vorgebracht, dass er bei seinen</w:t>
      </w:r>
    </w:p>
    <w:p>
      <w:r>
        <w:t>E-6369/2025 Seite 12 Gesprächen mit der Familie von dieser eine «positive Antwort» erhalten habe, was ihn «beruhigt» habe (Akte 16, Antwort 74). Zudem gab er an, fast täglich mit seiner Familie in Kontakt zu stehen (vgl. Akte 16, Antwort 37). Somit ist nicht anzunehmen, dass er bei seiner Rückkehr in die Türkei in eine existenzbedrohende Situation geraten würde. Nachdem der Be- schwerdeführer in der Türkei bereits seit 2018 medikamentös und psycho- logisch behandelt und betreut wurde (vgl. Akte 16, Antworten 5, 82 und 83) ist davon auszugehen, dass er bei einer Rückkehr bei Bedarf wiederum eine entsprechende Behandlung in Anspruch nehmen kann, womit keine medizinischen Wegweisungsvollzugshindernisse vorliegen.</w:t>
      </w:r>
    </w:p>
    <w:p>
      <w:r>
        <w:rPr>
          <w:b/>
        </w:rPr>
        <w:t>E. 9.3.4</w:t>
      </w:r>
    </w:p>
    <w:p>
      <w:r>
        <w:t>Der Vollzug der Wegweisung erweist sich demnach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Beschwerde ist angesichts der vorstehenden Erwägungen als aussichtslos zu qualifizieren. Die Gesuche um Gewährung der unentgeltli- chen Prozessführung und um amtliche Rechtsverbeiständung im Sinne von Art. 65 Abs. 1 VwVG und Art. 102m AsylG sind deshalb ungeachtet der Frage der Bedürftigkeit abzuweisen. Der Antrag um Verzicht auf die Erhe- bung eines Kostenvorschusses wird mit dem vorliegenden Urteil gegen- standslos.</w:t>
      </w:r>
    </w:p>
    <w:p>
      <w:r>
        <w:rPr>
          <w:b/>
        </w:rPr>
        <w:t>E. 11.2</w:t>
      </w:r>
    </w:p>
    <w:p>
      <w:r>
        <w:t>Bei diesem Ausgang des Verfahrens sind die Kosten von Fr. 750.– dem Beschwerdeführer aufzuerlegen (Art. 1–3 des Reglements vom</w:t>
      </w:r>
    </w:p>
    <w:p>
      <w:r>
        <w:t>E-6369/2025 Seite 13 21. Februar 2008 über die Kosten und Entschädigungen vor dem Bundes- verwaltungsgericht [VGKE, SR 173.320.2]; Art. 63 Abs. 1 VwVG).</w:t>
      </w:r>
    </w:p>
    <w:p>
      <w:r>
        <w:t>(Dispositiv nächste Seite)</w:t>
      </w:r>
    </w:p>
    <w:p>
      <w:r>
        <w:t>E-6369/2025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