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E-6369/2012 vom 25. Februar 2014</w:t>
      </w:r>
    </w:p>
    <w:p>
      <w:r>
        <w:t>Bundesverwaltungsgericht, 2014-02-25, DE</w:t>
      </w:r>
    </w:p>
    <w:p>
      <w:r>
        <w:rPr>
          <w:b/>
        </w:rPr>
        <w:t xml:space="preserve">Quelle: </w:t>
      </w:r>
      <w:r>
        <w:t>https://mcp.opencaselaw.ch/entscheid/bvger_E-6369_2012</w:t>
      </w:r>
    </w:p>
    <w:p>
      <w:r>
        <w:t>FR: TAF E-6369/2012 du 25 février 2014</w:t>
      </w:r>
    </w:p>
    <w:p>
      <w:r>
        <w:t>IT: TAF E-6369/2012 del 25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1.4</w:t>
      </w:r>
    </w:p>
    <w:p>
      <w:r>
        <w:t>Im Beschwerdeverfahren ist gemäss Art. 6 AsylG i.V.m. Art. 33a Abs. 2 VwVG die Sprache des angefochtenen Entscheids massgebend (wobei das Verfahren auch in der von der Partei verwendeten anderen Amtssprache geführt werden kann).</w:t>
      </w:r>
    </w:p>
    <w:p>
      <w:r>
        <w:rPr>
          <w:b/>
        </w:rPr>
        <w:t>E. 2</w:t>
      </w:r>
    </w:p>
    <w:p>
      <w:r>
        <w:t>Die Kognition des Bundesverwaltungsgerichts und die zulässigen Rügen bestimmen sich nach Art. 106 Abs. 1 AsylG.</w:t>
      </w:r>
    </w:p>
    <w:p>
      <w:r>
        <w:rPr>
          <w:b/>
        </w:rPr>
        <w:t>E. 3.1</w:t>
      </w:r>
    </w:p>
    <w:p>
      <w:r>
        <w:t>Die Bundesversammlung änderte am 28. September 2012 gestützt auf Art. 165 Abs. 1 der Bundesverfassung der Schweizerischen Eidgenossenschaft vom 18. April 1999 (BV, SR 101) das AsylG durch den Erlass eines dringlichen Bundesgesetzes. Diese Änderungen traten am darauffolgenden Tag in Kraft (vgl. AS 2012 5359, BBl 2012 8261) und betreffen unter anderem die Beschwerdefristen gemäss Art. 108 Abs. 2 AsylG. War zuvor lediglich für Beschwerden gegen Nichteintretensentscheide und Entscheide am Flughafen nach Art. 23 Abs. 1 AsylG eine Beschwerdefrist von fünf Arbeitstagen vorgesehen, so gilt nach neuem Recht diese Frist auch für Verfügungen des BFM nach Art. 40 i.V.m. Art. 6a Abs. 2 Bst. a AsylG.</w:t>
      </w:r>
    </w:p>
    <w:p>
      <w:r>
        <w:rPr>
          <w:b/>
        </w:rPr>
        <w:t>E. 3.2</w:t>
      </w:r>
    </w:p>
    <w:p>
      <w:r>
        <w:t>Die Änderung des Asylgesetzes vom 14. Dezember 2013 ist - unter Vorbehalt gewisser Bestimmungen (vgl. Verordnung über eine Teilinkraftsetzung der Änderung vom 14. Dezember 2012 des Asylgesetzes, AS 2013 5357) - am 1. Februar 2014 in Kraft getreten. In Bezug auf die Anwendung des (neuen) Rechts ist die Übergangsbestimmungen zur Änderung vom 14. Dezember 2012 massgebend.</w:t>
      </w:r>
    </w:p>
    <w:p>
      <w:r>
        <w:rPr>
          <w:b/>
        </w:rPr>
        <w:t>E. 3.3</w:t>
      </w:r>
    </w:p>
    <w:p>
      <w:r>
        <w:t>Für den vorliegenden Fall ergibt sich, dass die formellen Voraussetzungen für einen Entscheid mit einer Beschwerdefrist gemäss Art. 108 Abs. 2 AsylG in der seit dem 29. September 2012 geltenden Fassung erfüllt sind: Die Beschwerdeführenden sind serbische Staatsangehörige und der Bundesrat hat mit Beschluss vom 6. März 2009 Serbien zum "Safe Country" erklärt und ist auf die­se Ein­schätzung im Rahmen der periodischen Überprüfung (vgl. Art. 6a Abs. 3 AsylG) bisher nicht zurückgekommen. Zudem ist aufgrund der vollständigen und richtigen Feststellung des Sachverhalts das BFM zu Recht davon ausgegangen, dass das Verfahren nach der Anhörung ohne weitere Abklärungen spruchreif war. Dass das BFM auf die Asylgesuche eingetreten ist, sie materiell behandelt und die Verfügung ausführlich begründet hat, bedeutet nicht, dass die Gesuche nicht offenkundig ohne weitere Abklärungen abgelehnt werden konnten (vgl. hierzu auch nachfolgend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gelangt das Bundesverwaltungsgericht vorliegend zum Schluss, dass die Vorinstanz ihren Entscheid zu Recht mit dem vorhandenen Schutzwillen, den die serbischen Polizeibehörden den Beschwerdeführenden gegen die Nachteile seitens einer unbekannten Täterschaft bieten können, begründete.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BVGE 2011/51 E. 7.1-7.4; EMARK 2006 Nr. 18 E. 10.2; EMARK 2006 Nr. 32 E. 6.1).</w:t>
      </w:r>
    </w:p>
    <w:p>
      <w:r>
        <w:rPr>
          <w:b/>
        </w:rPr>
        <w:t>E. 5.2</w:t>
      </w:r>
    </w:p>
    <w:p>
      <w:r>
        <w:t>Bei den geschilderten Vorfällen handelt es sich um Übergriffe seitens Dritter, welche vorliegend nicht asylrelevant sind, da - wie bereits erwähnt - der serbische Staat als schutzfähig und -willig zu betrachten ist und solche Übergriffe strafrechtlich verfolgt. Wie die Vorinstanz zutreffend festhielt, ist den Akten zu entnehmen, dass die Polizeibehörden die Beschwerdeführenden angehört, ihre Aussagen aufgenommen und sich um die Verletzung des Beschwerdeführers gekümmert haben, indem sie ihm eigenen Aussagen zufolge empfohlen hätten, einen Arzt aufzusuchen (vgl. A4/11 S. 8). Dass es für die zuständigen Behörden jedoch schwierig ist, erfolgreich gegen eine unbekannte Täterschaft vorzugehen, ist nachvollziehbar, und fehlende strafrechtliche Massnahmen besagen nicht, dass sich die Polizei mit dem Fall der Beschwerdeführenden nicht befasst hätte. Entscheidend ist, dass eine funktionierende und effiziente Schutzinfrastruktur zur Verfügung steht, welche den Beschwerdeführenden objektiv zugänglich ist. Ausserdem ist ihnen die Inanspruchnahme des Schutzsystems auch individuell zumutbar. An dieser Einschätzung vermögen auch die eingereichten Beweismittel nichts zu ändern. Schliesslich kann die Frage, ob die Aussagen der Beschwerdeführenden - wie von der Vorinstanz behauptet - aufgrund ihrer Verhaltensweisen ohnehin in Zweifel zu ziehen sind, vorliegend offen bleiben.</w:t>
      </w:r>
    </w:p>
    <w:p>
      <w:r>
        <w:rPr>
          <w:b/>
        </w:rPr>
        <w:t>E. 5.3</w:t>
      </w:r>
    </w:p>
    <w:p>
      <w:r>
        <w:t>Zusammenfassend ist festzuhalten, dass es den Beschwerdeführenden nicht gelungen ist nachzuweisen oder zumindest glaubhaft zu machen, dass sie in der Heimat ernsthafte Nachteile gemäss Art. 3 AsylG erlitten haben oder solche bei der Ausreise zu befürchten hatten oder im Falle einer Rückkehr nach Serbien befürchten müssten. Das BFM hat demnach zu Recht die Flüchtlingseigenschaft der Beschwerdeführenden verneint und deren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Auch aus dem Umstand, dass serbische Staatsangehörige seit dem 19. Dezember 2009 für einen kurzfristigen Aufenthalt im Schengenraum (maximal 90 Tage innerhalb einer Halbjahresperiode) von der Visumpflicht befreit sind, unter der Voraussetzung, dass sie im Besitze eines biometrischen Passes sind, kann nichts zu Gunsten der Beschwerdeführenden abgeleitet werden.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heutigen Lage in Serbien ist gemäss konstanter Praxis nicht von einer Situation allgemeiner Gewalt oder kriegerischen respektive bürgerkriegsähnlichen Verhältnissen zu sprechen. Aus den Akten geht sodann hervor, dass die Beschwerdeführenden quasi ihr ganzes Leben in Serbien verbracht haben. Überdies war der Beschwerdeführer über 20 Jahre [Tätigkeit] tätig und verfügt über Berufserfahrung als [Tätigkeit] und die Beschwerdeführerin arbeitete als [Tätigkeit], weshalb anzunehmen ist, sie könnten sich in ihrer Heimat wieder wirtschaftlich integrieren. Falls sie aufgrund ihrer gesundheitlichen Probleme (vgl. insbesondere A13/10 S. 7 den Beschwerdeführer betreffend sowie die ins Recht gelegten Arztberichte die Beschwerdeführerin betreffend) Schwierigkeiten bei der Eingliederung auf dem Arbeitsmarkt haben sollten, könnten sie im Bedarfsfall auf die Unterstützung ihrer erwachsenen Kinder zählen. Weiter könnten sie ihre geltend gemachten physischen sowie psychischen Probleme in ihrer Heimat weiterbehandeln lassen, zumal die medizinische Grundversorgung in Serbien gewährleistet ist. Schliesslich ist darauf hinzuweisen, dass blosse soziale und wirtschaftliche Schwierigkeiten, von denen die ansässige Bevölkerung im Allgemeinen betroffen ist, nicht genügen, um eine Gefährdung i.S.v. Art. 83 Abs. 4 AuG darzustellen (vgl. BVGE 2008/34 E. 11.2.2). Der Vollzug der Wegweisung nach Serbien erweist sich demnach insgesamt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den vorstehenden Erwägungen ergibt sich, dass die angefochtene Verfügung Bundesrecht nicht verletzt und den rechtserheblichen Sachverhalt richtig und vollständig feststellt (Art. 106 AsylG). Die Beschwerde ist nach dem Gesagten abzuweisen.</w:t>
      </w:r>
    </w:p>
    <w:p>
      <w:r>
        <w:rPr>
          <w:b/>
        </w:rPr>
        <w:t>E. 9.1</w:t>
      </w:r>
    </w:p>
    <w:p>
      <w:r>
        <w:t>Nachdem die Beschwerde nicht als aussichtslos bezeichnet werden musste und die Bedürftigkeit der Beschwerdeführenden aus den Akten hervorgeht, ist das Gesuch um Gewährung der unentgeltlichen Prozessführung, des­sen Behandlung mit Instruktionsverfügung vom 12. Dezember 2012 auf einen späteren Zeitpunkt verwiesen wurde, gutzuheissen (vgl. Art. 65 Abs. 1 VwVG), und es sind demnach keine Verfahrenskosten zu erheben.</w:t>
      </w:r>
    </w:p>
    <w:p>
      <w:r>
        <w:rPr>
          <w:b/>
        </w:rPr>
        <w:t>E. 9.2</w:t>
      </w:r>
    </w:p>
    <w:p>
      <w:r>
        <w:t>Sodann ist das Gesuch um Gewährung der unentgeltlichen Rechtsverbeiständung, des­sen Behandlung ebenfalls mit Instruktionsverfügung vom 12. Dezember 2012 auf einen späteren Zeitpunkt verwiesen wurde, mangels Notwendigkeit abzuweisen (vgl. Art. 65 Abs. 2 VwVG i.V.m. Übergangsbestimmungen zur Änderung vom 14. Dezember 2012 Abs. 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