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E-634/2012 vom 20. März 2012</w:t>
      </w:r>
    </w:p>
    <w:p>
      <w:r>
        <w:t>Bundesverwaltungsgericht, 2012-03-20, DE</w:t>
      </w:r>
    </w:p>
    <w:p>
      <w:r>
        <w:rPr>
          <w:b/>
        </w:rPr>
        <w:t xml:space="preserve">Quelle: </w:t>
      </w:r>
      <w:r>
        <w:t>https://mcp.opencaselaw.ch/entscheid/bvger_E-634_2012</w:t>
      </w:r>
    </w:p>
    <w:p>
      <w:r>
        <w:t>FR: TAF E-634/2012 du 20 mars 2012</w:t>
      </w:r>
    </w:p>
    <w:p>
      <w:r>
        <w:t>IT: TAF E-634/2012 del 20 marzo 2012</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im Bereich des Asyls endgültig ausser - was vorliegend nicht zutrifft - bei Vorliegen eines Auslieferungsersuchens des Staates, vor welchem die beschwerdeführende Person Schutz sucht (vgl. dazu Art. 105 AsylG i.V.m. Art. 31 - 33 VGG sowie Art. 83 Bst. d Ziff. 1 des Bundesgerichtsgesetzes vom 17. Juni 2005 [BGG, SR 173.110]). Das Verfahren richtet sich nach dem Bundesgesetz vom 20. Dezember 1968 über das VwVG, soweit das VGG oder das AsylG nichts anderes bestimmen (vgl. Art. 37 VGG sowie Art. 6 und 105 AsylG),</w:t>
      </w:r>
    </w:p>
    <w:p>
      <w:r>
        <w:rPr>
          <w:b/>
        </w:rPr>
        <w:t>E. 1.2</w:t>
      </w:r>
    </w:p>
    <w:p>
      <w:r>
        <w:t>Ein Zuweisungsentscheid des Bundesamts ist eine selbständig anfechtbare Zwischenverfügung (Art. 107 Abs. 1 [letzter Satz] AsylG) und kann gemäss Art. 27 Abs. 3 letzter Satz AsylG - welcher als lex specialis der allgemeinen Regel von Art. 106 Abs. 1 AsylG vorgeht (vgl. Art. 106 Abs. 2 AsylG) - in materieller Hinsicht nur mit der Begründung angefochten werden, er verletze den Grundsatz der Einheit der Familie (vgl. BVGE 2008/47 E. 1.2). Diese zulässige Rüge wird im vorliegenden Fall von den Beschwerdeführenden denn auch sinngemäss erhoben.</w:t>
      </w:r>
    </w:p>
    <w:p>
      <w:r>
        <w:rPr>
          <w:b/>
        </w:rPr>
        <w:t>E. 2</w:t>
      </w:r>
    </w:p>
    <w:p>
      <w:r>
        <w:t>Zwischenverfügungen sind innerhalb von zehn Tagen ab deren Eröffnung anzufechten (Art. 108 Abs. 1 AsylG). Die angefochtene Verfügung ist den Beschwerdeführenden am 23. Januar 2012 eröffnet worden. Am 2. Februar 2012 ging beim Bundesverwaltungsgericht eine dagegen erhobene Beschwerde ein. Das Vertretungsverhältnis zwischen dem mandatierten Rechtsvertreter und den Beschwerdeführenden ist mittels Vollmacht belegt. Die Beschwerde ist somit form- und fristgerecht eingereicht und die Beschwerdeführenden sind legitimiert (Art. 108 Abs. 1 AsylG, Art. 6 AsylG i.V.m. Art. 48 und 52 VwVG). Auf die Beschwerde ist mithin einzutreten.</w:t>
      </w:r>
    </w:p>
    <w:p>
      <w:r>
        <w:rPr>
          <w:b/>
        </w:rPr>
        <w:t>E. 3</w:t>
      </w:r>
    </w:p>
    <w:p>
      <w:r>
        <w:t>Die vorliegende Beschwerde ist - wie nachfolgend aufgezeigt - offensichtlich unbegründet, weshalb darüber in einzelrichterlicher Zuständigkeit mit Zustimmung eines zweiten Richters beziehungsweise einer zweiten Richterin zu entscheiden ist (Art. 111 Bst. e AsylG). Der Beschwerdeentscheid ist nur summarisch zu begründen ist (Art. 111a Abs. 2 AsylG).</w:t>
      </w:r>
    </w:p>
    <w:p>
      <w:r>
        <w:rPr>
          <w:b/>
        </w:rPr>
        <w:t>E. 4.1</w:t>
      </w:r>
    </w:p>
    <w:p>
      <w:r>
        <w:t>Das Bundesamt weist die Asylsuchenden den Kantonen zu und trägt dabei den schützenswerten Interessen der Kantone und der Asylsuchenden Rechnung (Art. 27 Abs. 3 AsylG). Das BFM verteilt die Asylsuchenden unter Berücksichtigung bereits in der Schweiz lebender Familienangehöriger, der Staatsangehörigkeiten und besonders betreuungsintensiver Fälle möglichst gleichmässig auf die Kantone (Art. 22 Abs. 1 der Asylverordnung vom 11. August 1999 über Verfahrensfragen [AsylV 1, SR 142.311])</w:t>
      </w:r>
    </w:p>
    <w:p>
      <w:r>
        <w:rPr>
          <w:b/>
        </w:rPr>
        <w:t>E. 4.2</w:t>
      </w:r>
    </w:p>
    <w:p>
      <w:r>
        <w:t>Die Beschwerdeführerin gab anlässlich der Befragung zur Person vom 19. Januar 2012 ausdrücklich zu Protokoll, sie und ihr Sohn würden gerne dem Kanton F._______ zugewiesen werden, weil ihre Schwester, ihr Cousin und Freunde dort leben würden, und sie auf deren Unterstützung angewiesen sei. Sie seien beide in einem psychisch labilen Zustand und sie habe Schwierigkeiten, sich um ihren Sohn zu kümmern. Das Bundesamt begründete die Verfügung in schematischer Weise (Auflistung der entsprechenden Gesetzesartikel), ohne sich mit den konkreten Vorbringen der Beschwerdeführerin auseinanderzusetzen. Es ist daher von Amtes wegen zu prüfen, ob das Bundesamt mit dem Erlass einer blossen Formularverfügung seine Begründungspflicht und somit einen Teilgehalt des rechtlichen Gehörs verletzte (vgl. BVGE 2008/47 E.3).</w:t>
      </w:r>
    </w:p>
    <w:p>
      <w:r>
        <w:rPr>
          <w:b/>
        </w:rPr>
        <w:t>E. 4.3.1</w:t>
      </w:r>
    </w:p>
    <w:p>
      <w:r>
        <w:t>Aus der Begründung der Verfügung sollen die Gesuchsteller erkennen können, dass ihre Vorbringen gehört, sorgfältig geprüft und in der Entscheidfindung berücksichtigt worden sind (vgl. dazu Jörg Paul Müller, Grundrechte in der Schweiz 3. Aufl. Bern 1999, S. 523; BGE 123 I 31 E. 2c). Erst durch einen angemessen begründeten Entscheid können sich die Betroffenen (und auch die Rechtsmittelinstanz) über die Tragweite des Entscheids ein Bild machen und werden dadurch in die Lage versetzt, diesen - sofern gewünscht - sachgerecht anzufechten. Die erforderliche Begründungsdichte richtet sich dabei im Einzelfall nach dem Verfügungsgegenstand, den Verfahrensumständen und den Interessen der Betroffenen. Je grösser der Spielraum, welcher der Behörde infolge Ermessen und unbestimmter Rechtsbegriffe eingeräumt wird, und je stärker ein Entscheid in die individuellen Rechte des Betroffenen eingreift, desto höhere Anforderungen sind an die Begründung einer Verfügung zu stellen (vgl. dazu BVGE 2008/47 E. 3.2, mit weiteren Hinweisen).</w:t>
      </w:r>
    </w:p>
    <w:p>
      <w:r>
        <w:rPr>
          <w:b/>
        </w:rPr>
        <w:t>E. 4.3.2</w:t>
      </w:r>
    </w:p>
    <w:p>
      <w:r>
        <w:t>Die von der Vorinstanz am 20. Januar 2012 erlassene Formularverfügung hält den Anforderungen an die Begründungspflicht offensichtlich nicht stand (vgl. BVGE 2008/47 E 3.3.1 f.). Das BFM ist seiner Pflicht, auf die individuellen Vorbringen einzugehen und diese bei der Erstellung der Verfügung zu berücksichtigen, nicht nachgekommen, weshalb es den Anspruch der Beschwerdeführenden auf rechtliches Gehör verletzt hat.</w:t>
      </w:r>
    </w:p>
    <w:p>
      <w:r>
        <w:rPr>
          <w:b/>
        </w:rPr>
        <w:t>E. 4.3.3</w:t>
      </w:r>
    </w:p>
    <w:p>
      <w:r>
        <w:t>Der Anspruch auf rechtliches Gehör ist formeller Natur, weshalb seine Verletzung grundsätzlich ohne weiteres - das heisst ungeachtet der materiellen Auswirkungen - zur Aufhebung des daraufhin ergangenen Entscheides führt (vgl. BVGE 2008/14 E. 4.1; BVGE 2007/30 E. 8.2; BVGE 2007/27 E. 10.1).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 ausser die Rückweisung würde zu einem formalistischen Leerlauf und damit zu unnötigen Verzögerungen führen, die mit dem (gleichgestellten) Interesse der betroffenen Partei an einer beförderlichen Beurteilung der Sache nicht zu vereinbaren wären (vgl. BGE 2C_694/2009 vom 20. Mai 2010 E. 2.2.1) - und die fehlende Entscheidreife durch die Beschwerdeinstanz mit vertretbarem Aufwand hergestellt werden kann; die Heilung soll dabei allerdings die Ausnahme bleiben (vgl. zum Ganzen BVGE 2010/35 E. 4.3.1, mit weiteren Hinweisen). Im vorliegenden Fall holte die Vorinstanz dieses Versäumnis auf Beschwerdeebene insoweit nach, als sie ausführte, die Beschwerdeführerin habe anlässlich der Anhörung vom 19. Januar 2012 geltend gemacht, dem Kanton F._______ zugeteilt zu werden, wo ihre Schwester, ihr Cousin und Bekannte leben würden, weil sie und ihr Sohn auf deren Unterstützung angewiesen seien. Diese Vorbringen seien indessen gemäss geltender Rechtspraxis nicht ausreichend. Auch die Situation des Sohnes sei nicht als derart gravierend einzuschätzen, als dass eine spezielle Betreuung erforderlich wäre. Zusammenfassend sei festzuhalten, dass die privaten Interessen der Beschwerdeführenden keine Zuteilung in den Kanton F._______ rechtfertigen würde. Angesichts dieser Ergänzung und des den Beschwerdeführenden gewährten Rechts auf Replik sowie der vollständigen Kognition des Bundesverwaltungsgerichts hinsichtlich der Frage der Einheit der Familie, gilt der festgestellte Verfahrensmangel als geheilt, zumal der rechtserhebliche Sachverhalt erstellt und somit die notwendige Entscheidreife gegeben ist.</w:t>
      </w:r>
    </w:p>
    <w:p>
      <w:r>
        <w:rPr>
          <w:b/>
        </w:rPr>
        <w:t>E. 4.4</w:t>
      </w:r>
    </w:p>
    <w:p>
      <w:r>
        <w:t>Nach dem Gesagten besteht keine Veranlassung, den Zuweisungsentscheid des BFM vom 20. Januar 2012 aus formellen Gründen aufzuheben und die Sache zur Neubeurteilung an die Vorinstanz zurückzuweisen. Der Umstand, dass die angefochtene Verfügung im Zeitpunkt ihres Erlasses an einem Verfahrensmangel litt, wird indessen im Kosten- und Entschädigungspunkt zu berücksichtigen sein.</w:t>
      </w:r>
    </w:p>
    <w:p>
      <w:r>
        <w:rPr>
          <w:b/>
        </w:rPr>
        <w:t>E. 5</w:t>
      </w:r>
    </w:p>
    <w:p>
      <w:r>
        <w:t>Nachfolgend ist zu prüfen, ob die Beschwerdeführenden mit ihrer Rüge, die familiären Umstände seien zu berücksichtigen, durchzudringen vermögen. Dabei machen sie geltend, sie seien auf die Unterstützung der Schwester/Tante und des Cousins der Beschwerdeführerin angewiesen.</w:t>
      </w:r>
    </w:p>
    <w:p>
      <w:r>
        <w:rPr>
          <w:b/>
        </w:rPr>
        <w:t>E. 5.1</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w:t>
      </w:r>
    </w:p>
    <w:p>
      <w:r>
        <w:rPr>
          <w:b/>
        </w:rPr>
        <w:t>E. 5.2</w:t>
      </w:r>
    </w:p>
    <w:p>
      <w:r>
        <w:t>Gemäss Rechtsprechung des Bundesverwaltungsgerichts wird der Begriff "Einheit der Familie" im Asylgesetz einheitlich verwendet und entspricht jenem Schutzbereich von Art. 8 EMRK. Ehegatten, Konkubinatspartner und deren minderjährige Kinder, sowie nahe Angehörige, soweit besondere Gründe (vgl. Art. 38 AsylV 1) vorliegen, mithin ein Abhängigkeitsverhältnis gegeben ist fallen demnach in diesen Schutzbereich. Dieser Begriff der Einheit der Familie ist auch der Auslegung von Art. 27 Abs. 3 letzter Satz AsylG zugrunde zu legen (vgl. dazu insbesondere EMARK 1994 Nr. 9, 2000 Nr. 4, 21 und 27, BVGE 2008/47 E. 4.1).</w:t>
      </w:r>
    </w:p>
    <w:p>
      <w:r>
        <w:rPr>
          <w:b/>
        </w:rPr>
        <w:t>E. 5.3</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Art. 51 Abs. 2 AsylG vorausgesetzt. (vgl. Urteil des Schweizerischen Bundesgerichts vom 24. Oktober 2002 [2A.145/2002]E. 3.2 3.5,BGE 129 II 11 E. 2 S. 14, BGE 120 Ib 257 E. 1df S. 260, BGE 115 Ib 5 E. 2c).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Liegen keine solche Umstände vor, hängt sie regelmässig vom Alter beziehungsweise Entwicklungsstand der betreffenden Person ab.</w:t>
      </w:r>
    </w:p>
    <w:p>
      <w:r>
        <w:rPr>
          <w:b/>
        </w:rPr>
        <w:t>E. 5.4</w:t>
      </w:r>
    </w:p>
    <w:p>
      <w:r>
        <w:t>Bei den von den Beschwerdeführenden genannten Bezugspersonen, welche im Kanton F._______ leben, handelt es sich offensichtlich nicht um Personen, die der Kernfamilie zuzurechnen sind, sondern um Angehörige zu denen eine enge Verbindung im Sinne eines Abhängigkeitsverhältnisses bestehen müsste, um sich auf den Grundsatz der Einheit der Familie berufen zu können. Vorab ist festzuhalten, dass die Beschwerdeführerin vierunddreissig Jahre alt ist, einen adoleszenten Sohn hat, und seit Jahren nicht mehr mit ihrer in F._______ lebenden Schwester zusammenlebt. Was die Vorbringen (Unterstützung bei der Betreuung ihres Sohnes, bessere Integration, finanzielle Unterstützung) betrifft, vermögen sie den Anforderungen an ein Abhängigkeitsverhältnis im Sinne eines engeren Familienverhältnisses offensichtlich nicht zu genügen. Die geltend gemachte psychische Instabilität wird von den Beschwerdeführenden lediglich behauptet, weshalb sie keine Berücksichtigung findet. Sollten tatsächlich etwelche psychischen Probleme bestehen, sind sie fachärztlich abzuklären und im Sinne der Mitwirkungspflicht (vgl. Art. 8 AsylG) zu belegen. Den übrigen Argumenten (Hilfe bei der Betreuung ihres Sohnes, Tragen der Kosten betreffend Unterhalt durch die Schwester der Beschwerdeführerin) kommen nach dem klaren Wortlaut von Art. 27 Abs. 3 AsylG keine Relevanz zu. Aufgrund der derzeit aktuellen Aktenlage ist eine andere Kantonszuweisung als die bisher vorgenommene nicht angezeigt. Die Beschwerde ist abzuweisen.</w:t>
      </w:r>
    </w:p>
    <w:p>
      <w:r>
        <w:rPr>
          <w:b/>
        </w:rPr>
        <w:t>E. 6</w:t>
      </w:r>
    </w:p>
    <w:p>
      <w:r>
        <w:t>Bei dieser Sachlage gelangt das Bundesverwaltungsgericht zum Schluss, dass ein im Rahmen von Art. 27 Abs. 3 letzter Satz AsylG beachtliches Abhängigkeitsverhältnis der Beschwerdeführenden zu ihrer Schwester oder anderen Verwandten nicht besteht. Die angefochtene Verfügung verletzt daher den Grundsatz der Einheit der Familie nicht, weshalb die Beschwerde gegen die Zwischenverfügung vom 20. Januar 2012 abzuweisen ist.</w:t>
      </w:r>
    </w:p>
    <w:p>
      <w:r>
        <w:rPr>
          <w:b/>
        </w:rPr>
        <w:t>E. 7.1</w:t>
      </w:r>
    </w:p>
    <w:p>
      <w:r>
        <w:t>Das im Rahmen der Replik gestellte Gesuch um Gewährung der unentgeltlichen Rechtspflege ist abzuweisen, weil die gesetzlichen Voraussetzungen gemäss Art. 65 Abs. 1 VwVG nicht erfüllt sind.</w:t>
      </w:r>
    </w:p>
    <w:p>
      <w:r>
        <w:rPr>
          <w:b/>
        </w:rPr>
        <w:t>E. 7.2</w:t>
      </w:r>
    </w:p>
    <w:p>
      <w:r>
        <w:t>Bei diesem Ausgang des Verfahrens wären die Kosten des Verfahrens den Beschwerdeführenden aufzuerlegen (Art. 63 Abs. 1 und 5 VwVG i.V.m. Art. 1-3 des Reglements vom 21. Februar 2008 über die Kosten und Entschädigungen vor dem Bundesverwaltungsgericht [VGKE, SR 173.320.2]). Angesichts des von der Vorinstanz begangenen Verfahrensfehlers ist es sachgerecht, den Beschwerdeführenden keine Verfahrenskosten aufzuerlegen.</w:t>
      </w:r>
    </w:p>
    <w:p>
      <w:r>
        <w:rPr>
          <w:b/>
        </w:rPr>
        <w:t>E. 7.3</w:t>
      </w:r>
    </w:p>
    <w:p>
      <w:r>
        <w:t>Trotz des Umstands, dass die Beschwerdeführenden letztlich mit den Rechtsbegehren nicht durchgedrungen sind, ist ihnen angesichts des Verfahrensmangels eine angemessene Parteientschädigung für die ihnen aus der Beschwerdeführung erwachsenen, notwendigen Kosten zuzusprechen. Diese ist aufgrund des zuverlässig abschätzbaren Zeitaufwandes ihrer Rechtsvertretung und der praxisgemässen Bemessungsfaktoren (Art. 8 - 9, Art. 10 Abs. 2 und 14 Abs. 2 VGKE) auf insgesamt Fr. 300.- (inklusive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