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E-6343/2018 vom 6. Juni 2019</w:t>
      </w:r>
    </w:p>
    <w:p>
      <w:r>
        <w:t>Bundesverwaltungsgericht, 2019-06-06, DE</w:t>
      </w:r>
    </w:p>
    <w:p>
      <w:r>
        <w:rPr>
          <w:b/>
        </w:rPr>
        <w:t xml:space="preserve">Quelle: </w:t>
      </w:r>
      <w:r>
        <w:t>https://mcp.opencaselaw.ch/entscheid/bvger_E-6343_2018</w:t>
      </w:r>
    </w:p>
    <w:p>
      <w:r>
        <w:t>FR: TAF E-6343/2018 du 6 juin 2019</w:t>
      </w:r>
    </w:p>
    <w:p>
      <w:r>
        <w:t>IT: TAF E-6343/2018 del 6 giugno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 Art. 83 Bst. d Ziff. 1 BGG). Eine solche Ausnahme im Sinne von Art. 83 Bst. d Ziff. 1 BGG liegt nicht vor, weshalb das Bundesverwaltungsgericht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2014/2016 E. 5).</w:t>
      </w:r>
    </w:p>
    <w:p>
      <w:r>
        <w:rPr>
          <w:b/>
        </w:rPr>
        <w:t>E. 3</w:t>
      </w:r>
    </w:p>
    <w:p>
      <w:r>
        <w:t>Das SEM hat mit Verfügung vom 4. Oktober 2018 die vorläufige Aufnahme des Beschwerdeführers zufolge Unzumutbarkeit des Wegweisungsvollzuges angeordnet. Damit beschränkt sich das vorliegende Beschwerdeverfahren auf die Frage, ob der Beschwerdeführer als Flüchtling anzuerkennen und ihm Asyl zu gewähren ist sowie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w:t>
      </w:r>
    </w:p>
    <w:p>
      <w:r>
        <w:rPr>
          <w:b/>
        </w:rPr>
        <w:t>E. 4.3</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4.4</w:t>
      </w:r>
    </w:p>
    <w:p>
      <w:r>
        <w:t>Aufgrund der Subsidiarität des flüchtlingsrechtlichen Schutzes setzt die Anerkennung der Flüchtlingseigenschaft ausserdem voraus, dass die betroffene Person in ihrem Heimat- oder Herkunftsstaat keinen ausreichenden Schutz finden kann (vgl. BVGE 2011/51 E. 7.1 ff. m.w.H.).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2015/3 E. 6.5.1 m.w.H.).</w:t>
      </w:r>
    </w:p>
    <w:p>
      <w:r>
        <w:rPr>
          <w:b/>
        </w:rPr>
        <w:t>E. 4.5</w:t>
      </w:r>
    </w:p>
    <w:p>
      <w:r>
        <w:t>Die Asylgründe sind sodann glaubhaft zu machen (Art. 7 AsylG). Eine Glaubhaftmachung ist zu bejahen, wenn das Vorbringen genügend substantiiert, in sich schlüssig und plausibel ist. Es darf sich nicht in vagen Schilderungen erschöpfen, in wesentlichen Punkten nicht widersprüchlich sein, der inneren Logik entbehren oder den Tatsachen oder der allgemeinen Erfahrung widersprechen. Glaubhaftmachen bedeutet ferner - im Gegensatz zum strikten Beweis - ein reduziertes Beweismass und lässt durchaus Raum für gewisse Einwände und Zweifel am Vorbringen der gesuchstellenden Person. Entscheidend ist, ob die Gründe, welche für die Richtigkeit der Sachverhaltsdarstellung sprechen, überwiegen oder nicht. Dabei ist auf eine objektivierte Sichtweise abzustellen (vgl. BVGE 2015/3 E. 6.5.1 und BVGE 2012/5 E. 2.2).</w:t>
      </w:r>
    </w:p>
    <w:p>
      <w:r>
        <w:rPr>
          <w:b/>
        </w:rPr>
        <w:t>E. 5.1</w:t>
      </w:r>
    </w:p>
    <w:p>
      <w:r>
        <w:t>Das SEM kommt in der angefochtenen Verfügung zum Schluss, die vom Beschwerdeführer geltend gemachte Bedrohungslage sei nicht asylrelevant, weil dieser kein Motiv gemäss Art. 3 AsylG zugrunde liege. Vielmehr sei der Beschwerdeführer aufgrund eines kriminellen Interesses ausgewählt worden, weil er durch seine Funktion in die Nähe des (...)ministers habe gelangen können und Zugang zum Ministerium gehabt habe. Unter Verweis auf das Urteil D-5595/2014 des Bundesverwaltungsgerichts vom 23. März 2015 führt das SEM dazu weiter aus, die afghanischen Behörden in Kabul würden über Möglichkeiten verfügen, um den Beschwerdeführer vor Übergriffen durch Dritte zu schützen. So spreche das Verhalten der Polizei nach dem versuchten Angriff auf ihn für deren Schutzwillen. Zudem könne keine faktische Garantie für langfristigen individuellen Schutz vor nichtstaatlicher Verfolgung verlangt werden. Abschliessend bemerkt das SEM, dass die Vorbringen des Beschwerdeführers nicht aller Zweifel erhaben seien, infolge der fehlenden Asylrelevanz jedoch darauf verzichtet werden könne, diese auf die Glaubhaftmachung zu prüfen.</w:t>
      </w:r>
    </w:p>
    <w:p>
      <w:r>
        <w:rPr>
          <w:b/>
        </w:rPr>
        <w:t>E. 5.2</w:t>
      </w:r>
    </w:p>
    <w:p>
      <w:r>
        <w:t>Der Beschwerdeführer verweist in seiner Rechtsmitteleingabe zunächst auf das Urteil E-5522/2017 des Bundesverwaltungsgerichts vom 30. Januar 2018 und führt dazu aus, das Gericht habe Gruppen von Personen definiert, welche aufgrund ihrer Exponiertheit in Afghanistan einem erhöhten Verfolgungsrisiko ausgesetzt seien. Dazu würden unter anderem Personen gehören, welche die Regierung unterstützen oder als deren Unterstützer betrachtet würden. Als Leibwächter eines Ministers erfülle er ein entsprechendes Risikoprofil. Es sei bei ihm von einem hohen Risiko der Verfolgung durch regierungsfeindliche Gruppierungen auszugehen. Vor seiner Ausreise habe er sich in einer Situation befunden, die in ihrer Gesamtheit zu einem unerträglichen psychischen Druck geführt habe. Das SEM übersehe, dass er nicht aufgrund eines kriminellen, sondern aufgrund eines politischen Interesses ausgewählt worden sei, weil man durch ihn den amtierenden Minister habe stürzen wollen. Als Leibwächter des Ministers gelte er als Unterstützer der Regierung und stehe somit im Fokus regierungsfeindlicher Gruppierungen. Bezüglich der Schutzfähigkeit der afghanischen Behörden in Kabul führt der Beschwerdeführer unter Verweis auf das Urteil D-4286/2016 des Bundesverwaltungsgerichts vom 4. Juni 2018 weiter aus, er verfüge weder über ausreichende finanzielle Mittel noch über Einfluss, womit er nicht auf rechtsstaatlichen Schutz zählen könne. Zwar sei er der Leibwächter des Ministers gewesen. Er habe mit diesem jedoch in keinem solchermassen persönlichen Kontakt gestanden, der auf eine Schutzgewährung schliessen lassen könnte. Der Minister habe ihm selbst dazumal zur Ausreise geraten. Entgegen der Behauptung des SEM sei keine Schutzmöglichkeit gegeben. Schliesslich wird in der Beschwerde darauf verwiesen, dass der Beschwerdeführer seine Fluchtgründe äusserst nachvollziehbar, lebensnah und detailreich vorgetragen habe.</w:t>
      </w:r>
    </w:p>
    <w:p>
      <w:r>
        <w:rPr>
          <w:b/>
        </w:rPr>
        <w:t>E. 5.3</w:t>
      </w:r>
    </w:p>
    <w:p>
      <w:r>
        <w:t>Das SEM bemerkt in seiner Vernehmlassung, dass trotz der ausführlichen Schilderung des Beschwerdeführers mehrere Elemente seiner Ausführungen nicht nachvollziehbar seien. So erscheine es beispielsweise unlogisch, dass der Beschwerdeführer die Pläne, den Minister umzubringen, seinem Vorgesetzten nicht gemeldet habe, zumal er mit seinem Team als Leibwächter für dessen Sicherheit verantwortlich gewesen sei. Ebenfalls nicht nachvollziehbar sei der Umstand, dass er letztendlich doch direkt zum Minister - und nicht zu seinem Vorgesetzten - gegangen sei und diesen gewarnt habe. Der Beschwerdeführer habe nämlich selbst zu Protokoll gegeben, man habe jeweils nicht mit dem Minister gesprochen, sondern nur mit den Kommandanten. Der Beschwerdeführer habe sich ausserdem insoweit widersprochen, als er beispielsweise an der BzP ausgesagt habe, er wisse nicht, wer ihn in Kabul angegriffen habe. An der Anhörung sei er jedoch in der Lage gewesen, diesbezüglich genaue Angaben zu machen.</w:t>
      </w:r>
    </w:p>
    <w:p>
      <w:r>
        <w:rPr>
          <w:b/>
        </w:rPr>
        <w:t>E. 5.4</w:t>
      </w:r>
    </w:p>
    <w:p>
      <w:r>
        <w:t>Dem hält der Beschwerdeführer replizierend entgegen, er habe bereits in der Anhörung erklärt, dass ihm mit dem Tod gedroht worden sei, sollte er sich an den Minister wenden, oder sich versetzen lassen. Auch habe er nicht wegen der anonymen Anrufe direkt zum Minister gehen wollen. Er habe die Drohungen zunächst nicht genügend ernst genommen. Nach dem Vorfall im Haus seiner Familie sei er sodann davon ausgegangen, das Problem mit der Flucht nach Kabul gelöst zu haben. Erst als auf ihn geschossen worden sei, habe er die Drohungen ernst genommen. Er habe danach keine Zeit gehabt, die Hierarchiestufen einzuhalten. Schliesslich sei es um die Sicherheit des Ministers und nicht um diejenige seines (direkten) Vorgesetzen, dem Kommandanten, gegangen. Weiter habe er im Zusammenhang mit dem vom SEM aufgeführten, vermeintlichen Widerspruch bereits an der Anhörung erklärt, dass er nicht wisse, mit welchen Gruppierungen besagte Person, E._______, zusammengearbeitet habe. Er wisse deshalb auch nicht, ob der Angriff letztlich von diesem und dessen Leuten gekommen sei, oder ob E._______ jemanden dafür engagiert habe. Er habe in der Anhörung in einem ausführlichen freien Bericht seine Asylgründe dargelegt. Er habe auch darauf hingewiesen, dass er in der BzP angehalten worden sei, sich kurz zu fassen und nur über sich zu erzählen. Auch die an der Anhörung anwesende Hilfswerkvertretung sei in ihrem Bericht zum Schluss gekommen, dass er glaubhaft ausgesagt habe.</w:t>
      </w:r>
    </w:p>
    <w:p>
      <w:r>
        <w:rPr>
          <w:b/>
        </w:rPr>
        <w:t>E. 6.1</w:t>
      </w:r>
    </w:p>
    <w:p>
      <w:r>
        <w:t>Festzustellen ist vorab, dass weder das SEM noch das Bundesverwaltungsgericht Zweifel bezüglich der vorgebrachten Tätigkeit des Beschwerdeführers als Leibwächter im Dienste des afghanischen (...)ministeriums haben. Der Beschwerdeführer hat seinen beruflichen Werdegang während der Anhörung detailliert geschildert und auf Nachfragen präzis und ausführlich geantwortet. Seine Tätigkeit ist zudem durch verschiedene Diplome, Ausweise und Fotoaufnahmen, welche ihn in seiner Tätigkeit und auch an der Seite des Ministers zeigen, belegt (vgl. dazu act. A12, Beweismittel 1-16).</w:t>
      </w:r>
    </w:p>
    <w:p>
      <w:r>
        <w:rPr>
          <w:b/>
        </w:rPr>
        <w:t>E. 6.2</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wovon grosse Teile des Staatsgebiets direkt von Kampfhandlungen betroffen sind. Hinzu kommen terroristische Anschläge in den von offenen Gefechten weitgehend ausgenommenen urbanen Zentren. Im Visier stehen vor allem die Grossstädte Kabul und Kandahar (vgl. dazu ausführlich E. 7.3 und E. 7.4). An dieser Einschätzung ist angesichts der nach wie vor sehr volatilen Sicherheitslage, welche sich im Jahr 2018 im Verhältnis zum Jahr 2017 nochmals verschlechtert hat, nach wie vor festzuhalten (vgl. U.S. Commission on International Religious Freedom [USCIRF]: «Annual Report 2018 - Afghanistan» vom 24. Februar 2019, https://www.uscirf.gov/sites/default/files/ Tier2_AFGHANISTAN_2019.pdf; Austrian Centre for Country of Origin and Asylum Research and Documentation (ACCORD): «General Security Situation in Afghanistan and Events in Kabul» vom 4. März 2019, https://www.ecoi.net/en/countries/afghanistan/featured-topics/general-security-situation-in-afghanistan-and-events-in-kabul/; United Nations Assistance Mission in Afghanistan [UNAMA]/ Office of the United Nations High Commissioner for Human Rights [OHCHR]: «Protection of Civilians in Armed Conflict - Annual Report 2018» vom 1. Februar 2019, https://unama.unmissions.org/sites/default/files/afghanistan_protection_of_civilans _annual_report_2018_final_24_feb_2019_v3.pdf; alle abgerufen am 24. Mai 2019).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 High Commissioner for Refugees [UNHCR]), UEligibility Guidelines for Assessing the International Protection Needs of Asylum-Seekers from Afghanistan vom 30. August 2018, https://www.refworld.org/docid/5b8900109.html, S. 40 ff. [abgerufen am 24. Mai 2019]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Department of Foreign Affairs and Trade [DFAT]: «Country Information Report Afghanistan» vom 18. September 2017, Ziff. 3.19 und 3.23; Schweizerische Flüchtlingshilfe [SFH]: «Afghanistan: Die aktuelle Sicherheitslage» vom 12. September 2018, insbesondere S. 9; ACCORD: «Aktuelle Sicherheitslage in Afghanistan und Chronologie für Kabul» vom 11. September 2018, Kapitel 1.2.).</w:t>
      </w:r>
    </w:p>
    <w:p>
      <w:r>
        <w:rPr>
          <w:b/>
        </w:rPr>
        <w:t>E. 6.3</w:t>
      </w:r>
    </w:p>
    <w:p>
      <w:r>
        <w:t>Nach Einschätzung des Gerichts gehörte der Beschwerdeführer als Leibwächter des afghanischen (...)ministeriums im Zeitpunkt seiner Ausreise aus Afghanistan im Jahr 2015 zu einer Personengruppe, welche aufgrund ihrer Exponiertheit bereits an sich einem erhöhten Verfolgungsrisiko ausgesetzt war. Er nahm an einem militärischen Training in der Türkei statt, wurde zusätzlich in Afghanistan zum Polizisten ausgebildet und begleitete zusammen mit weiteren Leibwächtern den jeweiligen amtierenden (...)minister auf Schritt und Tritt (act. A6, Ziff. 2.04; act. A22, F20, F23, F41). Aus den eingereichten Fotoaufnahmen geht zudem hervor, dass der Beschwerdeführer bei seinen Einsätzen stets eine Uniform trug und während seines Dienstes bewaffnet war (vgl. act. A12, Beweismittel 6). Er war daher als Angehöriger der Streitkräfte erkennbar und damit einer erhöhten Gefahr der Verfolgung durch regierungsfeindliche Gruppierungen ausgesetzt.</w:t>
      </w:r>
    </w:p>
    <w:p>
      <w:r>
        <w:rPr>
          <w:b/>
        </w:rPr>
        <w:t>E. 6.4</w:t>
      </w:r>
    </w:p>
    <w:p>
      <w:r>
        <w:t>Entgegen den Feststellungen des SEM geht das Gericht weiter davon aus, dass der Beschwerdeführer als Mitglied der afghanischen Streitkräfte mehrfach bedroht und einmal Ziel eines Anschlages wurde.</w:t>
      </w:r>
    </w:p>
    <w:p>
      <w:r>
        <w:rPr>
          <w:b/>
        </w:rPr>
        <w:t>E. 6.4.1</w:t>
      </w:r>
    </w:p>
    <w:p>
      <w:r>
        <w:t>In der angefochtenen Verfügung bemerkt das SEM hierzu lediglich, dass die Vorbringen des Beschwerdeführers nicht aller Zweifel erhaben seien. In der Vernehmlassung hält es weiter fest, dass die diesbezüglichen Schilderungen des Beschwerdeführers zwar ausführlich ausgefallen, einzelne Elemente davon jedoch nicht nachvollziehbar seien und der Beschwerdeführer sich vereinzelt auch widersprochen habe (vgl. dazu vorstehende Erwägung Ziff. 5.3). Festzustellen ist aber, dass das SEM es weitestgehend unterlassen hat, die Elemente, welche für die Glaubhaftigkeit der Vorbringen des Beschwerdeführers sprechen, im Rahmen einer Gesamtwürdigung zu berücksichtigen. So enthalten seine Schilderungen - wie nachfolgend dargelegt - eine Vielzahl an Realkennzeichen.</w:t>
      </w:r>
    </w:p>
    <w:p>
      <w:r>
        <w:rPr>
          <w:b/>
        </w:rPr>
        <w:t>E. 6.4.2</w:t>
      </w:r>
    </w:p>
    <w:p>
      <w:r>
        <w:t>Zunächst ist festzuhalten, dass der Beschwerdeführer anlässlich der Anhörung in einem freien Bericht ausführlich darlegte, wie es zur geltend gemachten Bedrohungssituation gekommen sei, die letztlich aus einem erfolglosen Anwerben seiner Person für ein Attentat resultiert habe. Er war in der Lage, die einzelnen Ereignisse chronologisch aufzuzählen und unterstrich diese mit mehreren räumlich-zeitlichen Verknüpfungen (act. A22, F80, S. 10 14). Sodann konnte er auf Nachfrage hin sowohl zum Freund, an dessen Verlobungsfeier er eingeladen war, zu E._______, dem er an der besagten Feier erstmals begegnet sein soll sowie zu dem in Kabul wohnhaften Freund, bei welchem er seine Familie untergebracht haben will, nähere Angaben machen (act. A22, F82 f., F92). Die Antworten des Beschwerdeführers auf die ihm gestellten Fragen sind ferner logisch und in sich konsequent. So erklärte er beispielsweise auf die Frage, weshalb er nach Erhalt der Anrufe nicht seine Telefonnummer gewechselt habe, es habe sich dabei um seine Dienstnummer gehandelt, welche seine Arbeitskollegen gehabt hätten (act. A22, F95). Hätte er seine Nummer gewechselt, so wäre er dadurch Gefahr gelaufen, dass seine Arbeitskollegen Rückfragen gestellt und auf diese Weise von den Anrufen erfahren hätten, was er aber aus nachvollziehbaren Gründen habe verhindern wollen (act. A22, F97). Der Beschwerdeführer konnte sodann plausibel erklären, weshalb er seine Vorgesetzen nicht umgehend über die Anrufe informierte, führte er hierzu doch aus, es seien insbesondere für den Fall, dass er seinen Arbeitgeber darüber in Kenntnis setze, Drohungen gegen ihn und die Familie ausgesprochen worden. Ausserdem sei er davon ausgegangen, dass er nach seiner Rückkehr nach Kabul in Ruhe gelassen werde. Schliesslich habe er sich aber auch Sorgen darüber gemacht, dass er seine Arbeitsstelle verlieren könne (act. A22, F90, F99). Diese Sorgen waren, wie die weiteren Ereignisse zeigen, berechtigt, hatte der Minister, nachdem der Beschwerdeführer ihm von den Drohungen berichtet hatte, doch zunächst in Aussicht gestellt, ihn, den Beschwerdeführers, in eine andere Abteilung zu versetzen, und hatte er ihm später gar geraten, das Land angesichts der Ereignisse zu verlassen (act. A22, F80, S. 13, letzter Abschnitt). Es mag auf den ersten Blick zwar tatsächlich fraglich erscheinen, weshalb der Beschwerdeführer letztlich den Minister und nicht seinen (direkten) Vorgesetzten über die Drohungen und den Angriff auf ihn informierte, zumal er anlässlich der Anhörung selbst aussagte, der Minister habe kaum mit ihnen den Leibwächtern direkt gesprochen, sondern die Kommunikation sei über den Kommandanten erfolgt (act. A22, F53). Gleichwohl ist seine Begründung, wonach er sich nach dem ersten schweren Angriff auf ihn dazu veranlasst sah, direkt an den Minister zu gelangen und sich unter diesen Umständen, wie er selbst vorbringt, keine weiteren Gedanken über die Einhaltung der Hierarchiestufen machte, nicht unplausibel und im Gesamtkontext nicht geeignet, die Glaubhaftmachung in Frage zu stellen. Der Beschwerdeführer war ferner auch in der Lage, detailliert über die jeweiligen Gesprächsinhalte, wie diejenigen mit E._______, mit dem Minister oder mit seinen Freunden und seiner Familie Auskunft zu geben (act. A22, F80, F90, F103). Für die Glaubhaftigkeit seiner Aussagen spricht auch der Umstand, dass seine Schilderungen von persönlichen Gedanken und Sorgen gefärbt sind (act. A22, F80, S. 13, Abschnitt 5; F80, S. 14, erster und zweiter Abschnitt; F94, F99). Schliesslich konnte er die ihm vom SEM vorgehaltenen Widersprüche weitestgehend schlüssig aufklären (act. A22, F112 F116).</w:t>
      </w:r>
    </w:p>
    <w:p>
      <w:r>
        <w:rPr>
          <w:b/>
        </w:rPr>
        <w:t>E. 6.5</w:t>
      </w:r>
    </w:p>
    <w:p>
      <w:r>
        <w:t>Nach dem Gesagten gelangt das Gericht zum Schluss, dass der Beschwerdeführer im Zeitpunkt seiner Ausreise aus Afghanistan im Jahr 2015 aufgrund seines Profils eine begründete Furcht vor Verfolgung durch regierungsfeindlichen Gruppierungen im Sinne von Art. 3 AsylG hatte. Es kann dabei keine Rolle spielen, dass sich die Bedrohungssituation offenbar erst ergeben hat, nachdem der Beschwerdeführer diesen extremistischen Anwerbungsversuchen nicht entsprochen hat, hängen diese doch unmittelbar mit seiner beruflichen Tätigkeit zusammen. Nachdem sich die Sicherheits- und Verfolgungslage in Afghanistan seit seiner Ausreise im Jahr 2015 keineswegs verbessert hat, ist davon auszugehen, dass er im Falle einer Rückkehr nach Afghanistan begründeterweise auch aktuell künftige Verfolgung vor Übergriffen seitens regierungsfeindlicher Gruppierungen zu befürchten hat.</w:t>
      </w:r>
    </w:p>
    <w:p>
      <w:r>
        <w:rPr>
          <w:b/>
        </w:rPr>
        <w:t>E. 6.6</w:t>
      </w:r>
    </w:p>
    <w:p>
      <w:r>
        <w:t>Nachdem die festgestellte Verfolgungsgefahr nicht von staatlichen Organen sondern von Dritten ausgeht,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Vorliegend ist zu berücksichtigen, dass regierungsfeindliche Gruppierungen, namentlich auch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Daraus folgt, dass die afghanischen Sicherheitskräfte - auch in Kabul - für Angehörige von Personengruppen mit einem hohen Risikoprofil - zu welchen der Beschwerdeführer gehört - keine funktionierende und effiziente Schutzinfrastruktur zur Verfügung stellen können (vgl. dazu Urteile des BVGer D-3402/2017 vom 14. Dezember 2017 E. 7.2; E-117/2016 vom 31. Oktober 2017 E. 7.4; D-416/2015 vom 25. August 2017 E. 6.9.3 und E-4394/2016 vom 19. April 2018). Eine Schutzalternative im Sinne der Rechtsprechung besteht offensichtlich auch in anderen Teilen Afghanistans nicht, zumal die Taliban in allen Landesteilen ihre Aktivitäten entfalten und die Schutzinfrastruktur gegenüber derjenigen von Kabul auch in anderen grossen Städten nicht effizienter ist.</w:t>
      </w:r>
    </w:p>
    <w:p>
      <w:r>
        <w:rPr>
          <w:b/>
        </w:rPr>
        <w:t>E. 6.7</w:t>
      </w:r>
    </w:p>
    <w:p>
      <w:r>
        <w:t>Bei dieser Sachlage erübrigt es sich, auf die übrigen Vorbringen des Beschwerdeführers und die entsprechenden Erwägungen des SEM weiter einzugehen.</w:t>
      </w:r>
    </w:p>
    <w:p>
      <w:r>
        <w:rPr>
          <w:b/>
        </w:rPr>
        <w:t>E. 7</w:t>
      </w:r>
    </w:p>
    <w:p>
      <w:r>
        <w:t>Nach dem Gesagten ist festzustellen, dass der Beschwerdeführer die Flüchtlingseigenschaft im Sinne von Art. 3 AsylG erfüllt. Anhaltspunkte für das Vorliegen von Asylausschlussgründen im Sinne von Art. 53 AsylG gehen aus den Akten nicht hervor, weshalb ihm Asyl zu gewähren ist (Art. 49 AsylG).</w:t>
      </w:r>
    </w:p>
    <w:p>
      <w:r>
        <w:rPr>
          <w:b/>
        </w:rPr>
        <w:t>E. 8</w:t>
      </w:r>
    </w:p>
    <w:p>
      <w:r>
        <w:t>Die Verfügung des SEM vom 4. Oktober 2018 ist aufzuheben und die Vorinstanz ist anzuweisen, dem Beschwerdeführer in der Schweiz in Anerkennung der Flüchtlingseigenschaft Asyl zu gewähren.</w:t>
      </w:r>
    </w:p>
    <w:p>
      <w:r>
        <w:rPr>
          <w:b/>
        </w:rPr>
        <w:t>E. 9.1</w:t>
      </w:r>
    </w:p>
    <w:p>
      <w:r>
        <w:t>Bei diesem Ausgang des Verfahrens sind keine Kosten aufzuerlegen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zu Lasten der Vorinstanz eine Entschädigung für die ihm notwendigerweise erwachsenen Parteikosten zuzusprechen. Die Rechtsvertreterin macht einen zeitlichen Aufwand von 8 Stunden bei einem Stundenansatz von Fr. 180.-, einen Mehrwertsteuerbetrag von Fr. 115.20 und eine Spesenpauschale von Fr. 60.- geltend. Der Aufwand und der zur Verrechnung gebrachte Stundenansatz scheinen gesamthaft als angemessen. Zur Entschädigung hinzuzurechnen sind ein Mehrwertsteuerzuschlag von insgesamt Fr. 110.90 (7.7% ab 1. Januar 2018 von Fr. 1440. ) sowie eine Spesenpauschale von Fr. 60. . Die von der Vor-instanz dem Beschwerdeführer auszurichtende Parteientschädigung beläuft sich damit auf insgesamt Fr. 1611. (inkl.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