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E-6335/2015 vom 26. Oktober 2015</w:t>
      </w:r>
    </w:p>
    <w:p>
      <w:r>
        <w:t>Bundesverwaltungsgericht, 2015-10-26, DE</w:t>
      </w:r>
    </w:p>
    <w:p>
      <w:r>
        <w:rPr>
          <w:b/>
        </w:rPr>
        <w:t xml:space="preserve">Quelle: </w:t>
      </w:r>
      <w:r>
        <w:t>https://mcp.opencaselaw.ch/entscheid/bvger_E-6335_2015</w:t>
      </w:r>
    </w:p>
    <w:p>
      <w:r>
        <w:t>FR: TAF E-6335/2015 du 26 octobre 2015</w:t>
      </w:r>
    </w:p>
    <w:p>
      <w:r>
        <w:t>IT: TAF E-6335/2015 del 26 ottobre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Die Beschwerde ist in englischer Sprache und damit nicht in einer Amtssprache des Bundes (vgl. Art. 105 AsylG i.V.m. Art. 33a VwVG und Art. 70 Abs. 1 BV) abgefasst. Indes weist die Eingabe keine Unklarheiten auf, weshalb praxisgemäss auf die Einholung einer Übersetzung in eine Amtssprache zu verzichten ist (statt vieler: Urteil des Bundesverwaltungsgerichts E-3639/2013 vom 10. Juli 2013).</w:t>
      </w:r>
    </w:p>
    <w:p>
      <w:r>
        <w:rPr>
          <w:b/>
        </w:rPr>
        <w:t>E. 1.3</w:t>
      </w:r>
    </w:p>
    <w:p>
      <w:r>
        <w:t>Gestützt auf Art. 33a Abs. 2 VwVG i.V.m. Art. 6 AsylG ergeht der vorliegende Entscheid in deutscher Sprache.</w:t>
      </w:r>
    </w:p>
    <w:p>
      <w:r>
        <w:rPr>
          <w:b/>
        </w:rPr>
        <w:t>E. 1.4</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Dagegen betrachtet das Gericht mit Hinweis auf BVGE 2011/39, E. 4.3.2, ihre Tochter D._______ als nicht zur Beschwerde berechtigt, da sie vor einer schweizerischen Asylbehörde im In- oder Ausland nie persönlich aufgetreten ist, womit nicht feststeht, ob sie tatsächlich ein Asylgesuch stellen wollte. Im Übrigen wird die Beschwerde lediglich im Namen der Beschwerdeführerin geführt. Daher verzichtet das Gericht näher darauf einzugehen, ob die vor-instanzliche Verfügung vom 20. April 2015, die sich auch auf die Tochter bezieht, überhaupt hätte so ergehen dürfen. Auf die frist- und formgerecht eingereichte Beschwerde (Art. 52 VwVG und Art. 108 Abs. 1 AsylG) ist einzutreten.</w:t>
      </w:r>
    </w:p>
    <w:p>
      <w:r>
        <w:rPr>
          <w:b/>
        </w:rPr>
        <w:t>E. 2.1</w:t>
      </w:r>
    </w:p>
    <w:p>
      <w:r>
        <w:t>Im Asylbereich richten sich die Kognition und Rügemöglichkeiten nach Art. 106 Abs. 1 AsylG (vgl. hierzu BVGE 2015/2).</w:t>
      </w:r>
    </w:p>
    <w:p>
      <w:r>
        <w:rPr>
          <w:b/>
        </w:rPr>
        <w:t>E. 2.2</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2.3</w:t>
      </w:r>
    </w:p>
    <w:p>
      <w:r>
        <w:t>Gestützt auf Art. 111a Abs. 1 AsylG wurde auf die Durchführung eines Schrif­tenwechsels verzichtet.</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Vorliegend geht das SEM in seiner Verfügung davon aus, dass die Beschwerdeführerin in ihrem Heimatstaat Eritrea Schwierigkeiten mit den heimatlichen Behörden gehabt habe. Es könne ihr jedoch gemäss aArt. 52 Abs. 2 AsylG zugemutet werden, im Sudan zu verbleiben, womit sie den Schutz der Schweiz nicht benötige.</w:t>
      </w:r>
    </w:p>
    <w:p>
      <w:r>
        <w:rPr>
          <w:b/>
        </w:rPr>
        <w:t>E. 5.2</w:t>
      </w:r>
    </w:p>
    <w:p>
      <w:r>
        <w:t>Diesen Erwägungen ist weitgehend zuzustimmen. Indessen stellt das Gericht fest, dass die Beschwerdeführerin in Khartum auf der eritreischen Botschaft vorgesprochen und einen Pass beantragt hat. Allein die Tatsache, dass sie es nach den erwähnten Schwierigkeiten mit den eritreischen Behörden und der angeblich illegalen Ausreise gewagt hat, mit den eritreischen Behörden in Kontakt zu treten, weist darauf hin, dass sie sich offenbar nicht vor ihnen derart gefürchtet hat, wie sie es die Schweizer Behörden glauben lassen will. Ungeachtet dessen, kann vorliegend offengelassen werden, ob sie bei einer allfälligen Rückkehr nach Eritrea einer flüchtlingsrechtlich relevanten Gefährdung ausgesetzt sein könnte, weil es ihr, wie das SEM zutreffend ausführte, zugemutet werden kann, im Sudan zu bleiben, zumal keine Beziehungsnähe zur Schweiz ersichtlich ist und sie dort bessere Möglichkeiten zur Eingliederung hat als in der Schweiz. Gemäss ihren Angaben hält sich die Beschwerdeführerin seit 15. Oktober 2008 (Asylgesuch vom 21. Mai 2012) beziehungsweise seit 15. Oktober 2012 (Answers to Questionnaires Interview, Ziffer 11) in Khartum auf und zog es vor, sich beim UNHCR nicht als Flüchtling registrieren zu lassen, weil sie offenbar ein Auskommen gefunden hat, das ihr erlaubt, privat zu wohnen und ihre Kinder im Ausland zu unterstützen (vgl. Beschwerde S. 1 letzter Abschnitt). Es ist darauf hinzuweisen, dass die Beschwerdeführerin, sollte sie sich an ihrem derzeitigen Aufenthaltsort nicht mehr hinreichend sicher fühlen und sich die dortige Lebenssituation verschlechtern, über die Möglichkeit verfügt, sich als registrierter Flüchtling beim UNHCR zu melden und in dem ihr zugewiesenen Camp zu leben. Gemäss gesicherten Erkenntnissen ist das Risiko einer Deportation oder Verschleppung für Eritreer, die im Sudan vom UNHCR als Flüchtlinge anerkannt sind, gering (vgl. statt vieler Urteil des BVGer E-4417/2011 vom 9. Feb­ruar 2012 E. 6.5.3).</w:t>
      </w:r>
    </w:p>
    <w:p>
      <w:r>
        <w:rPr>
          <w:b/>
        </w:rPr>
        <w:t>E. 5.3</w:t>
      </w:r>
    </w:p>
    <w:p>
      <w:r>
        <w:t>Zusammenfassend ist daher festzustellen, dass der Beschwerdeführerin ein weiterer Verbleib im Sudan zumutbar ist und sie auf den Schutz der Schweiz nicht angewiesen ist. An dieser Einschätzung vermögen auch die weiteren Ausführungen in ihrer Rechtsmitteleingabe nichts zu ändern, zumal sie lediglich an ihren bisherigen Vorbringen festhält und wiederholt, im Sudan gefährdet zu sein. Die Vorinstanz hat demnach der Beschwerdeführerin zu Recht die Einreise in die Schweiz nicht bewilligt und das Asylgesuch aus dem Ausland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